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8B63EC" w:rsidP="008B63EC">
            <w:pPr>
              <w:shd w:val="solid" w:color="FFFFFF" w:fill="FFFFFF"/>
              <w:spacing w:before="0"/>
              <w:rPr>
                <w:rFonts w:ascii="Verdana" w:hAnsi="Verdana" w:cs="Times New Roman Bold"/>
                <w:b/>
                <w:bCs/>
                <w:sz w:val="26"/>
                <w:szCs w:val="26"/>
              </w:rPr>
            </w:pPr>
            <w:bookmarkStart w:id="0" w:name="ditulogo"/>
            <w:bookmarkStart w:id="1" w:name="_GoBack"/>
            <w:bookmarkEnd w:id="0"/>
            <w:bookmarkEnd w:id="1"/>
            <w:r w:rsidRPr="008B63EC">
              <w:rPr>
                <w:rFonts w:ascii="Verdana" w:hAnsi="Verdana" w:cs="Times New Roman Bold"/>
                <w:b/>
                <w:bCs/>
                <w:noProof/>
                <w:sz w:val="20"/>
                <w:szCs w:val="26"/>
                <w:lang w:val="en-US"/>
              </w:rPr>
              <w:drawing>
                <wp:inline distT="0" distB="0" distL="0" distR="0" wp14:anchorId="2263F118" wp14:editId="6F24EA33">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rPr>
              <w:drawing>
                <wp:inline distT="0" distB="0" distL="0" distR="0" wp14:anchorId="7639A77A" wp14:editId="1CDAE46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F64263" w:rsidTr="00D046A7">
        <w:trPr>
          <w:cantSplit/>
        </w:trPr>
        <w:tc>
          <w:tcPr>
            <w:tcW w:w="6438" w:type="dxa"/>
            <w:gridSpan w:val="2"/>
            <w:vMerge w:val="restart"/>
          </w:tcPr>
          <w:p w:rsidR="00F64263" w:rsidRPr="00982084" w:rsidRDefault="00177043" w:rsidP="00F6426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tab/>
              <w:t>Document 1A/TEMP/26 (edited)</w:t>
            </w:r>
          </w:p>
        </w:tc>
        <w:tc>
          <w:tcPr>
            <w:tcW w:w="3451" w:type="dxa"/>
            <w:gridSpan w:val="2"/>
          </w:tcPr>
          <w:p w:rsidR="00F64263" w:rsidRPr="00F95190" w:rsidRDefault="00314A7A" w:rsidP="00314A7A">
            <w:pPr>
              <w:shd w:val="solid" w:color="FFFFFF" w:fill="FFFFFF"/>
              <w:spacing w:before="0" w:line="240" w:lineRule="atLeast"/>
              <w:rPr>
                <w:rFonts w:ascii="Verdana" w:hAnsi="Verdana"/>
                <w:b/>
                <w:bCs/>
                <w:sz w:val="20"/>
                <w:lang w:val="es-ES_tradnl" w:eastAsia="zh-CN"/>
              </w:rPr>
            </w:pPr>
            <w:r w:rsidRPr="0079602D">
              <w:rPr>
                <w:rFonts w:ascii="Verdana" w:hAnsi="Verdana"/>
                <w:b/>
                <w:sz w:val="20"/>
                <w:lang w:val="en-US" w:eastAsia="zh-CN"/>
              </w:rPr>
              <w:t xml:space="preserve">Annex </w:t>
            </w:r>
            <w:r>
              <w:rPr>
                <w:rFonts w:ascii="Verdana" w:hAnsi="Verdana"/>
                <w:b/>
                <w:sz w:val="20"/>
                <w:lang w:val="en-US" w:eastAsia="zh-CN"/>
              </w:rPr>
              <w:t>17</w:t>
            </w:r>
            <w:r w:rsidRPr="0079602D">
              <w:rPr>
                <w:rFonts w:ascii="Verdana" w:hAnsi="Verdana"/>
                <w:b/>
                <w:sz w:val="20"/>
                <w:lang w:val="en-US" w:eastAsia="zh-CN"/>
              </w:rPr>
              <w:t xml:space="preserve"> to</w:t>
            </w:r>
            <w:r w:rsidRPr="0079602D">
              <w:rPr>
                <w:rFonts w:ascii="Verdana" w:hAnsi="Verdana"/>
                <w:b/>
                <w:sz w:val="20"/>
                <w:lang w:val="en-US" w:eastAsia="zh-CN"/>
              </w:rPr>
              <w:br/>
              <w:t>Document 1A/60-E</w:t>
            </w:r>
          </w:p>
        </w:tc>
      </w:tr>
      <w:tr w:rsidR="00F64263" w:rsidTr="00D046A7">
        <w:trPr>
          <w:cantSplit/>
        </w:trPr>
        <w:tc>
          <w:tcPr>
            <w:tcW w:w="6438" w:type="dxa"/>
            <w:gridSpan w:val="2"/>
            <w:vMerge/>
          </w:tcPr>
          <w:p w:rsidR="00F64263" w:rsidRDefault="00F64263" w:rsidP="00F64263">
            <w:pPr>
              <w:spacing w:before="60"/>
              <w:jc w:val="center"/>
              <w:rPr>
                <w:b/>
                <w:smallCaps/>
                <w:sz w:val="32"/>
                <w:lang w:eastAsia="zh-CN"/>
              </w:rPr>
            </w:pPr>
            <w:bookmarkStart w:id="4" w:name="ddate" w:colFirst="1" w:colLast="1"/>
            <w:bookmarkEnd w:id="3"/>
          </w:p>
        </w:tc>
        <w:tc>
          <w:tcPr>
            <w:tcW w:w="3451" w:type="dxa"/>
            <w:gridSpan w:val="2"/>
          </w:tcPr>
          <w:p w:rsidR="00F64263" w:rsidRPr="00F95190" w:rsidRDefault="00177043" w:rsidP="00A35985">
            <w:pPr>
              <w:shd w:val="solid" w:color="FFFFFF" w:fill="FFFFFF"/>
              <w:spacing w:before="0" w:line="240" w:lineRule="atLeast"/>
              <w:rPr>
                <w:rFonts w:ascii="Verdana" w:hAnsi="Verdana"/>
                <w:b/>
                <w:bCs/>
                <w:sz w:val="20"/>
                <w:lang w:eastAsia="zh-CN"/>
              </w:rPr>
            </w:pPr>
            <w:r>
              <w:rPr>
                <w:rFonts w:ascii="Verdana" w:hAnsi="Verdana"/>
                <w:b/>
                <w:bCs/>
                <w:sz w:val="20"/>
                <w:lang w:eastAsia="zh-CN"/>
              </w:rPr>
              <w:t>1</w:t>
            </w:r>
            <w:r w:rsidR="00A35985">
              <w:rPr>
                <w:rFonts w:ascii="Verdana" w:hAnsi="Verdana"/>
                <w:b/>
                <w:bCs/>
                <w:sz w:val="20"/>
                <w:lang w:eastAsia="zh-CN"/>
              </w:rPr>
              <w:t>4</w:t>
            </w:r>
            <w:r w:rsidR="00F64263">
              <w:rPr>
                <w:rFonts w:ascii="Verdana" w:hAnsi="Verdana"/>
                <w:b/>
                <w:bCs/>
                <w:sz w:val="20"/>
                <w:lang w:eastAsia="zh-CN"/>
              </w:rPr>
              <w:t xml:space="preserve"> </w:t>
            </w:r>
            <w:r w:rsidR="00F64263" w:rsidRPr="00F95190">
              <w:rPr>
                <w:rFonts w:ascii="Verdana" w:hAnsi="Verdana"/>
                <w:b/>
                <w:bCs/>
                <w:sz w:val="20"/>
                <w:lang w:eastAsia="zh-CN"/>
              </w:rPr>
              <w:t>June 201</w:t>
            </w:r>
            <w:r w:rsidR="00077430">
              <w:rPr>
                <w:rFonts w:ascii="Verdana" w:hAnsi="Verdana"/>
                <w:b/>
                <w:bCs/>
                <w:sz w:val="20"/>
                <w:lang w:eastAsia="zh-CN"/>
              </w:rPr>
              <w:t>6</w:t>
            </w:r>
          </w:p>
        </w:tc>
      </w:tr>
      <w:tr w:rsidR="00F64263" w:rsidTr="00D046A7">
        <w:trPr>
          <w:cantSplit/>
        </w:trPr>
        <w:tc>
          <w:tcPr>
            <w:tcW w:w="6438" w:type="dxa"/>
            <w:gridSpan w:val="2"/>
            <w:vMerge/>
          </w:tcPr>
          <w:p w:rsidR="00F64263" w:rsidRDefault="00F64263" w:rsidP="00F64263">
            <w:pPr>
              <w:spacing w:before="60"/>
              <w:jc w:val="center"/>
              <w:rPr>
                <w:b/>
                <w:smallCaps/>
                <w:sz w:val="32"/>
                <w:lang w:eastAsia="zh-CN"/>
              </w:rPr>
            </w:pPr>
            <w:bookmarkStart w:id="5" w:name="dorlang" w:colFirst="1" w:colLast="1"/>
            <w:bookmarkEnd w:id="4"/>
          </w:p>
        </w:tc>
        <w:tc>
          <w:tcPr>
            <w:tcW w:w="3451" w:type="dxa"/>
            <w:gridSpan w:val="2"/>
          </w:tcPr>
          <w:p w:rsidR="00F64263" w:rsidRPr="00F95190" w:rsidRDefault="00F64263" w:rsidP="00F64263">
            <w:pPr>
              <w:shd w:val="solid" w:color="FFFFFF" w:fill="FFFFFF"/>
              <w:spacing w:before="0" w:line="240" w:lineRule="atLeast"/>
              <w:rPr>
                <w:rFonts w:ascii="Verdana" w:eastAsia="SimSun" w:hAnsi="Verdana"/>
                <w:b/>
                <w:bCs/>
                <w:sz w:val="20"/>
                <w:lang w:eastAsia="zh-CN"/>
              </w:rPr>
            </w:pPr>
            <w:r w:rsidRPr="00F95190">
              <w:rPr>
                <w:rFonts w:ascii="Verdana" w:eastAsia="SimSun" w:hAnsi="Verdana"/>
                <w:b/>
                <w:bCs/>
                <w:sz w:val="20"/>
                <w:lang w:eastAsia="zh-CN"/>
              </w:rPr>
              <w:t>English only</w:t>
            </w:r>
          </w:p>
        </w:tc>
      </w:tr>
      <w:tr w:rsidR="00314A7A" w:rsidTr="00D046A7">
        <w:trPr>
          <w:cantSplit/>
        </w:trPr>
        <w:tc>
          <w:tcPr>
            <w:tcW w:w="9889" w:type="dxa"/>
            <w:gridSpan w:val="4"/>
          </w:tcPr>
          <w:p w:rsidR="00314A7A" w:rsidRPr="0079602D" w:rsidRDefault="00314A7A" w:rsidP="00314A7A">
            <w:pPr>
              <w:pStyle w:val="Source"/>
              <w:spacing w:before="480"/>
              <w:rPr>
                <w:b w:val="0"/>
                <w:bCs/>
                <w:lang w:val="en-US"/>
              </w:rPr>
            </w:pPr>
            <w:bookmarkStart w:id="6" w:name="dsource" w:colFirst="0" w:colLast="0"/>
            <w:bookmarkEnd w:id="5"/>
            <w:r w:rsidRPr="0079602D">
              <w:rPr>
                <w:lang w:val="en-US"/>
              </w:rPr>
              <w:t xml:space="preserve">Annex </w:t>
            </w:r>
            <w:r>
              <w:rPr>
                <w:lang w:val="en-US"/>
              </w:rPr>
              <w:t>17</w:t>
            </w:r>
            <w:r w:rsidRPr="0079602D">
              <w:rPr>
                <w:lang w:val="en-US"/>
              </w:rPr>
              <w:t xml:space="preserve"> to Working Party 1A Chairman’s Report</w:t>
            </w:r>
          </w:p>
        </w:tc>
      </w:tr>
      <w:tr w:rsidR="00314A7A" w:rsidTr="00D046A7">
        <w:trPr>
          <w:cantSplit/>
        </w:trPr>
        <w:tc>
          <w:tcPr>
            <w:tcW w:w="9889" w:type="dxa"/>
            <w:gridSpan w:val="4"/>
          </w:tcPr>
          <w:p w:rsidR="00314A7A" w:rsidRDefault="00314A7A" w:rsidP="00314A7A">
            <w:pPr>
              <w:pStyle w:val="Title1"/>
              <w:rPr>
                <w:lang w:eastAsia="zh-CN"/>
              </w:rPr>
            </w:pPr>
            <w:bookmarkStart w:id="7" w:name="drec" w:colFirst="0" w:colLast="0"/>
            <w:bookmarkEnd w:id="6"/>
            <w:r>
              <w:t xml:space="preserve">Liaison statement </w:t>
            </w:r>
            <w:r w:rsidRPr="004E71BD">
              <w:t xml:space="preserve">TO EXTERNAL </w:t>
            </w:r>
            <w:r w:rsidRPr="005B2227">
              <w:t>ORGANIZATIONS</w:t>
            </w:r>
            <w:r>
              <w:rPr>
                <w:rStyle w:val="FootnoteReference"/>
                <w:caps w:val="0"/>
              </w:rPr>
              <w:footnoteReference w:id="1"/>
            </w:r>
          </w:p>
        </w:tc>
      </w:tr>
      <w:tr w:rsidR="00314A7A" w:rsidTr="00D046A7">
        <w:trPr>
          <w:cantSplit/>
        </w:trPr>
        <w:tc>
          <w:tcPr>
            <w:tcW w:w="9889" w:type="dxa"/>
            <w:gridSpan w:val="4"/>
          </w:tcPr>
          <w:p w:rsidR="00314A7A" w:rsidRDefault="00314A7A" w:rsidP="00314A7A">
            <w:pPr>
              <w:pStyle w:val="Title1"/>
              <w:rPr>
                <w:lang w:eastAsia="zh-CN"/>
              </w:rPr>
            </w:pPr>
            <w:bookmarkStart w:id="8" w:name="dtitle1" w:colFirst="0" w:colLast="0"/>
            <w:bookmarkEnd w:id="7"/>
            <w:r>
              <w:rPr>
                <w:lang w:val="en-US"/>
              </w:rPr>
              <w:t>Increasing Levels of RF Noise in the Environment and Consequent InterFERence to Radiocommunication Services</w:t>
            </w:r>
          </w:p>
        </w:tc>
      </w:tr>
    </w:tbl>
    <w:p w:rsidR="00A2651A" w:rsidRPr="00ED4F01" w:rsidRDefault="00A2651A" w:rsidP="00A2651A">
      <w:pPr>
        <w:pStyle w:val="Heading1"/>
      </w:pPr>
      <w:bookmarkStart w:id="9" w:name="dbreak"/>
      <w:bookmarkEnd w:id="8"/>
      <w:bookmarkEnd w:id="9"/>
      <w:r>
        <w:t>1</w:t>
      </w:r>
      <w:r>
        <w:tab/>
      </w:r>
      <w:r w:rsidRPr="00ED4F01">
        <w:t>Introduction</w:t>
      </w:r>
    </w:p>
    <w:p w:rsidR="00E50A4F" w:rsidRPr="00C70D5E" w:rsidRDefault="00A2651A" w:rsidP="00A2651A">
      <w:r w:rsidRPr="00C70D5E">
        <w:t xml:space="preserve">Working </w:t>
      </w:r>
      <w:r w:rsidR="00A404F9" w:rsidRPr="00C70D5E">
        <w:rPr>
          <w:lang w:val="en-US"/>
        </w:rPr>
        <w:t>Party 1A</w:t>
      </w:r>
      <w:r w:rsidRPr="00C70D5E">
        <w:t xml:space="preserve"> has become aware of growing concerns among Standards Developing Organizations </w:t>
      </w:r>
      <w:r w:rsidR="00E50A4F" w:rsidRPr="00C70D5E">
        <w:t>about increasing levels of RF noise radiated or superimposed along the electrical mains supply and the consequent increase in instances of EMI.</w:t>
      </w:r>
      <w:r w:rsidR="004477C4">
        <w:t xml:space="preserve"> Much of this arises in the 2</w:t>
      </w:r>
      <w:r w:rsidR="004477C4">
        <w:noBreakHyphen/>
      </w:r>
      <w:r w:rsidR="00E50A4F" w:rsidRPr="00C70D5E">
        <w:t>15</w:t>
      </w:r>
      <w:r w:rsidR="004477C4">
        <w:t>0 </w:t>
      </w:r>
      <w:r w:rsidR="00E50A4F" w:rsidRPr="00C70D5E">
        <w:t xml:space="preserve">kHz frequency range as a result of the ubiquitous </w:t>
      </w:r>
      <w:r w:rsidR="00E50A4F" w:rsidRPr="00C70D5E">
        <w:rPr>
          <w:lang w:eastAsia="zh-CN"/>
        </w:rPr>
        <w:t xml:space="preserve">use of high frequency switching techniques in </w:t>
      </w:r>
      <w:r w:rsidR="00A01D09" w:rsidRPr="00C70D5E">
        <w:rPr>
          <w:lang w:eastAsia="zh-CN"/>
        </w:rPr>
        <w:t xml:space="preserve">all sorts of electrical and electronic equipment for power supplies and power conversion, nearly everything in fact. The problems encountered now include many new types of equipment coming into common use, such as inverters used in conjunction with solar panel arrays, </w:t>
      </w:r>
      <w:r w:rsidR="004477C4">
        <w:rPr>
          <w:lang w:eastAsia="zh-CN"/>
        </w:rPr>
        <w:t>where power levels range from 1 </w:t>
      </w:r>
      <w:r w:rsidR="00A01D09" w:rsidRPr="00C70D5E">
        <w:rPr>
          <w:lang w:eastAsia="zh-CN"/>
        </w:rPr>
        <w:t>to 100 kVA. Small converters, chargers and power supplies for domestic electronic equipment as well as higher power household appliances, from induction cookers to washing machines, are also involved.</w:t>
      </w:r>
    </w:p>
    <w:p w:rsidR="00A03F8B" w:rsidRPr="00C70D5E" w:rsidRDefault="00A01D09" w:rsidP="00A03F8B">
      <w:r w:rsidRPr="00C70D5E">
        <w:t xml:space="preserve">Such problems have been highlighted as an important issue of mutual concern during liaison activities between ITU and the CLC/TC 210 group of CENELEC as a result of consideration of the third edition of the CLC/SC205A Study Report on </w:t>
      </w:r>
      <w:r w:rsidRPr="00C70D5E">
        <w:rPr>
          <w:i/>
        </w:rPr>
        <w:t>Electromagnetic Interference between Electrical Equipment/Systems in the Frequency Range below 150 kHz.</w:t>
      </w:r>
      <w:r w:rsidRPr="00C70D5E">
        <w:t xml:space="preserve"> </w:t>
      </w:r>
      <w:r w:rsidR="00A03F8B" w:rsidRPr="00C70D5E">
        <w:t>Rising levels of EMI in the frequency range 2-150 kHz situation will be of concern to several radio services and ITU-R Working Parties:</w:t>
      </w:r>
    </w:p>
    <w:p w:rsidR="00A03F8B" w:rsidRPr="00C70D5E" w:rsidRDefault="00A03F8B" w:rsidP="00D05AE3">
      <w:pPr>
        <w:pStyle w:val="enumlev1"/>
        <w:numPr>
          <w:ilvl w:val="0"/>
          <w:numId w:val="1"/>
        </w:numPr>
        <w:spacing w:before="60"/>
        <w:ind w:left="1134" w:hanging="1111"/>
      </w:pPr>
      <w:r w:rsidRPr="00C70D5E">
        <w:t>Broadcasting service (</w:t>
      </w:r>
      <w:r w:rsidR="00C70D5E">
        <w:t xml:space="preserve">ITU-R Working </w:t>
      </w:r>
      <w:r w:rsidR="00C70D5E" w:rsidRPr="009C3429">
        <w:rPr>
          <w:lang w:val="en-US"/>
        </w:rPr>
        <w:t>Party </w:t>
      </w:r>
      <w:r w:rsidR="00C70D5E">
        <w:rPr>
          <w:lang w:val="en-US"/>
        </w:rPr>
        <w:t>6</w:t>
      </w:r>
      <w:r w:rsidR="00C70D5E" w:rsidRPr="009C3429">
        <w:rPr>
          <w:lang w:val="en-US"/>
        </w:rPr>
        <w:t>A</w:t>
      </w:r>
      <w:r w:rsidRPr="00C70D5E">
        <w:t>)</w:t>
      </w:r>
    </w:p>
    <w:p w:rsidR="001B77EC" w:rsidRPr="00C70D5E" w:rsidRDefault="001B77EC" w:rsidP="00D05AE3">
      <w:pPr>
        <w:pStyle w:val="enumlev1"/>
        <w:numPr>
          <w:ilvl w:val="0"/>
          <w:numId w:val="1"/>
        </w:numPr>
        <w:spacing w:before="60"/>
        <w:ind w:left="1134" w:hanging="1111"/>
      </w:pPr>
      <w:r>
        <w:t xml:space="preserve">Amateur </w:t>
      </w:r>
      <w:r w:rsidRPr="00C70D5E">
        <w:t>service</w:t>
      </w:r>
      <w:r>
        <w:t>s</w:t>
      </w:r>
      <w:r w:rsidRPr="00C70D5E">
        <w:t xml:space="preserve"> (</w:t>
      </w:r>
      <w:r>
        <w:t xml:space="preserve">ITU-R Working </w:t>
      </w:r>
      <w:r w:rsidRPr="009C3429">
        <w:rPr>
          <w:lang w:val="en-US"/>
        </w:rPr>
        <w:t>Party </w:t>
      </w:r>
      <w:r w:rsidRPr="00C70D5E">
        <w:t>5</w:t>
      </w:r>
      <w:r>
        <w:t>A</w:t>
      </w:r>
      <w:r w:rsidRPr="00C70D5E">
        <w:t>)</w:t>
      </w:r>
    </w:p>
    <w:p w:rsidR="00A03F8B" w:rsidRPr="00C70D5E" w:rsidRDefault="00A03F8B" w:rsidP="00D05AE3">
      <w:pPr>
        <w:pStyle w:val="enumlev1"/>
        <w:numPr>
          <w:ilvl w:val="0"/>
          <w:numId w:val="1"/>
        </w:numPr>
        <w:spacing w:before="60"/>
        <w:ind w:left="1134" w:hanging="1111"/>
      </w:pPr>
      <w:r w:rsidRPr="00C70D5E">
        <w:t>Radionavigation service (</w:t>
      </w:r>
      <w:r w:rsidR="00C70D5E">
        <w:t xml:space="preserve">ITU-R Working </w:t>
      </w:r>
      <w:r w:rsidR="00C70D5E" w:rsidRPr="009C3429">
        <w:rPr>
          <w:lang w:val="en-US"/>
        </w:rPr>
        <w:t>Party </w:t>
      </w:r>
      <w:r w:rsidRPr="00C70D5E">
        <w:t>5B)</w:t>
      </w:r>
    </w:p>
    <w:p w:rsidR="00A03F8B" w:rsidRPr="004477C4" w:rsidRDefault="00A03F8B" w:rsidP="00D05AE3">
      <w:pPr>
        <w:pStyle w:val="enumlev1"/>
        <w:numPr>
          <w:ilvl w:val="0"/>
          <w:numId w:val="1"/>
        </w:numPr>
        <w:spacing w:before="60"/>
        <w:ind w:left="1134" w:hanging="1111"/>
        <w:rPr>
          <w:lang w:val="en-US"/>
        </w:rPr>
      </w:pPr>
      <w:r w:rsidRPr="004477C4">
        <w:rPr>
          <w:lang w:val="en-US"/>
        </w:rPr>
        <w:t>Maritime mobile service (</w:t>
      </w:r>
      <w:r w:rsidR="00C70D5E">
        <w:t xml:space="preserve">ITU-R Working </w:t>
      </w:r>
      <w:r w:rsidR="00C70D5E" w:rsidRPr="009C3429">
        <w:rPr>
          <w:lang w:val="en-US"/>
        </w:rPr>
        <w:t>Party </w:t>
      </w:r>
      <w:r w:rsidRPr="004477C4">
        <w:rPr>
          <w:lang w:val="en-US"/>
        </w:rPr>
        <w:t>5B)</w:t>
      </w:r>
    </w:p>
    <w:p w:rsidR="00A03F8B" w:rsidRPr="00C70D5E" w:rsidRDefault="00A03F8B" w:rsidP="00D05AE3">
      <w:pPr>
        <w:pStyle w:val="enumlev1"/>
        <w:numPr>
          <w:ilvl w:val="0"/>
          <w:numId w:val="1"/>
        </w:numPr>
        <w:spacing w:before="60"/>
        <w:ind w:left="1134" w:hanging="1111"/>
      </w:pPr>
      <w:r w:rsidRPr="00C70D5E">
        <w:t>Fixed service (</w:t>
      </w:r>
      <w:r w:rsidR="00C70D5E">
        <w:t xml:space="preserve">ITU-R Working </w:t>
      </w:r>
      <w:r w:rsidR="00C70D5E" w:rsidRPr="009C3429">
        <w:rPr>
          <w:lang w:val="en-US"/>
        </w:rPr>
        <w:t>Party </w:t>
      </w:r>
      <w:r w:rsidRPr="00C70D5E">
        <w:t>5C)</w:t>
      </w:r>
    </w:p>
    <w:p w:rsidR="00D05AE3" w:rsidRPr="00C70D5E" w:rsidRDefault="00D05AE3" w:rsidP="00D05AE3">
      <w:pPr>
        <w:pStyle w:val="enumlev1"/>
        <w:numPr>
          <w:ilvl w:val="0"/>
          <w:numId w:val="1"/>
        </w:numPr>
        <w:spacing w:before="60"/>
        <w:ind w:left="1134" w:hanging="1111"/>
      </w:pPr>
      <w:r w:rsidRPr="00C70D5E">
        <w:t>Standard frequency and time signal service (</w:t>
      </w:r>
      <w:r>
        <w:t xml:space="preserve">ITU-R Working </w:t>
      </w:r>
      <w:r w:rsidRPr="009C3429">
        <w:rPr>
          <w:lang w:val="en-US"/>
        </w:rPr>
        <w:t>Party </w:t>
      </w:r>
      <w:r w:rsidRPr="00C70D5E">
        <w:t>7A)</w:t>
      </w:r>
    </w:p>
    <w:p w:rsidR="00A03F8B" w:rsidRPr="00C70D5E" w:rsidRDefault="00C60D57" w:rsidP="00C60D57">
      <w:pPr>
        <w:pStyle w:val="Heading1"/>
      </w:pPr>
      <w:r>
        <w:t>2</w:t>
      </w:r>
      <w:r>
        <w:tab/>
        <w:t>Disturbances to electronic communications systems</w:t>
      </w:r>
    </w:p>
    <w:p w:rsidR="002C00F8" w:rsidRPr="004471D9" w:rsidRDefault="002C00F8" w:rsidP="004477C4">
      <w:pPr>
        <w:rPr>
          <w:lang w:eastAsia="en-GB"/>
        </w:rPr>
      </w:pPr>
      <w:r w:rsidRPr="004471D9">
        <w:rPr>
          <w:lang w:eastAsia="en-GB"/>
        </w:rPr>
        <w:t>Th</w:t>
      </w:r>
      <w:r w:rsidR="00C60D57" w:rsidRPr="004471D9">
        <w:rPr>
          <w:lang w:eastAsia="en-GB"/>
        </w:rPr>
        <w:t>e CENELEC s</w:t>
      </w:r>
      <w:r w:rsidRPr="004471D9">
        <w:rPr>
          <w:lang w:eastAsia="en-GB"/>
        </w:rPr>
        <w:t xml:space="preserve">tudy reported on </w:t>
      </w:r>
      <w:r w:rsidR="00664D12" w:rsidRPr="004471D9">
        <w:rPr>
          <w:lang w:eastAsia="en-GB"/>
        </w:rPr>
        <w:t>cases of EMI via the radiated path, thus confirming radiated EMI as an EMC</w:t>
      </w:r>
      <w:r w:rsidR="004B56E9" w:rsidRPr="004471D9">
        <w:rPr>
          <w:lang w:eastAsia="en-GB"/>
        </w:rPr>
        <w:t xml:space="preserve"> </w:t>
      </w:r>
      <w:r w:rsidR="00664D12" w:rsidRPr="004471D9">
        <w:rPr>
          <w:lang w:eastAsia="en-GB"/>
        </w:rPr>
        <w:t xml:space="preserve">issue over the </w:t>
      </w:r>
      <w:r w:rsidRPr="004471D9">
        <w:rPr>
          <w:lang w:eastAsia="en-GB"/>
        </w:rPr>
        <w:t xml:space="preserve">whole </w:t>
      </w:r>
      <w:r w:rsidR="004477C4">
        <w:rPr>
          <w:lang w:eastAsia="en-GB"/>
        </w:rPr>
        <w:t>frequency range 2-</w:t>
      </w:r>
      <w:r w:rsidR="00664D12" w:rsidRPr="004471D9">
        <w:rPr>
          <w:lang w:eastAsia="en-GB"/>
        </w:rPr>
        <w:t>500 kHz, with EMI victims like broadcast time signal</w:t>
      </w:r>
      <w:r w:rsidR="004B56E9" w:rsidRPr="004471D9">
        <w:rPr>
          <w:lang w:eastAsia="en-GB"/>
        </w:rPr>
        <w:t xml:space="preserve"> </w:t>
      </w:r>
      <w:r w:rsidR="00664D12" w:rsidRPr="004471D9">
        <w:rPr>
          <w:lang w:eastAsia="en-GB"/>
        </w:rPr>
        <w:t xml:space="preserve">systems and </w:t>
      </w:r>
      <w:r w:rsidR="004B56E9" w:rsidRPr="004471D9">
        <w:rPr>
          <w:lang w:eastAsia="en-GB"/>
        </w:rPr>
        <w:t xml:space="preserve">also </w:t>
      </w:r>
      <w:r w:rsidRPr="004471D9">
        <w:rPr>
          <w:lang w:eastAsia="en-GB"/>
        </w:rPr>
        <w:t xml:space="preserve">wired </w:t>
      </w:r>
      <w:r w:rsidR="004B56E9" w:rsidRPr="004471D9">
        <w:rPr>
          <w:lang w:eastAsia="en-GB"/>
        </w:rPr>
        <w:t xml:space="preserve">non-mains </w:t>
      </w:r>
      <w:r w:rsidR="00664D12" w:rsidRPr="004471D9">
        <w:rPr>
          <w:lang w:eastAsia="en-GB"/>
        </w:rPr>
        <w:t>com</w:t>
      </w:r>
      <w:r w:rsidRPr="004471D9">
        <w:rPr>
          <w:lang w:eastAsia="en-GB"/>
        </w:rPr>
        <w:t>munication</w:t>
      </w:r>
      <w:r w:rsidR="00664D12" w:rsidRPr="004471D9">
        <w:rPr>
          <w:lang w:eastAsia="en-GB"/>
        </w:rPr>
        <w:t xml:space="preserve"> systems like xDSL.</w:t>
      </w:r>
      <w:r w:rsidRPr="004471D9">
        <w:rPr>
          <w:lang w:eastAsia="en-GB"/>
        </w:rPr>
        <w:t xml:space="preserve"> It was noted that </w:t>
      </w:r>
      <w:r w:rsidRPr="004471D9">
        <w:rPr>
          <w:lang w:eastAsia="en-GB"/>
        </w:rPr>
        <w:lastRenderedPageBreak/>
        <w:t>b</w:t>
      </w:r>
      <w:r w:rsidR="00664D12" w:rsidRPr="004471D9">
        <w:rPr>
          <w:lang w:eastAsia="en-GB"/>
        </w:rPr>
        <w:t>roadband services, xDSL and PLC etc. are widely used in customers’ premises</w:t>
      </w:r>
      <w:r w:rsidR="004B56E9" w:rsidRPr="004471D9">
        <w:rPr>
          <w:lang w:eastAsia="en-GB"/>
        </w:rPr>
        <w:t xml:space="preserve"> and are</w:t>
      </w:r>
      <w:r w:rsidR="00664D12" w:rsidRPr="004471D9">
        <w:rPr>
          <w:lang w:eastAsia="en-GB"/>
        </w:rPr>
        <w:t xml:space="preserve"> sensitive to</w:t>
      </w:r>
      <w:r w:rsidRPr="004471D9">
        <w:rPr>
          <w:lang w:eastAsia="en-GB"/>
        </w:rPr>
        <w:t xml:space="preserve"> </w:t>
      </w:r>
      <w:r w:rsidR="00664D12" w:rsidRPr="004471D9">
        <w:rPr>
          <w:lang w:eastAsia="en-GB"/>
        </w:rPr>
        <w:t xml:space="preserve">radiated disturbances from multiples of </w:t>
      </w:r>
      <w:r w:rsidRPr="004471D9">
        <w:rPr>
          <w:lang w:eastAsia="en-GB"/>
        </w:rPr>
        <w:t xml:space="preserve">non-mains communicating equipment </w:t>
      </w:r>
      <w:r w:rsidR="00664D12" w:rsidRPr="004471D9">
        <w:rPr>
          <w:lang w:eastAsia="en-GB"/>
        </w:rPr>
        <w:t>emissions on switching frequencies.</w:t>
      </w:r>
      <w:r w:rsidRPr="004471D9">
        <w:rPr>
          <w:lang w:eastAsia="en-GB"/>
        </w:rPr>
        <w:t xml:space="preserve"> </w:t>
      </w:r>
    </w:p>
    <w:p w:rsidR="00664D12" w:rsidRPr="004471D9" w:rsidRDefault="002C00F8" w:rsidP="00664D12">
      <w:pPr>
        <w:rPr>
          <w:lang w:eastAsia="en-GB"/>
        </w:rPr>
      </w:pPr>
      <w:r w:rsidRPr="004471D9">
        <w:rPr>
          <w:lang w:eastAsia="en-GB"/>
        </w:rPr>
        <w:t xml:space="preserve">One </w:t>
      </w:r>
      <w:r w:rsidR="00664D12" w:rsidRPr="004471D9">
        <w:rPr>
          <w:lang w:eastAsia="en-GB"/>
        </w:rPr>
        <w:t xml:space="preserve">conclusion </w:t>
      </w:r>
      <w:r w:rsidRPr="004471D9">
        <w:rPr>
          <w:lang w:eastAsia="en-GB"/>
        </w:rPr>
        <w:t>from this study is that t</w:t>
      </w:r>
      <w:r w:rsidR="00664D12" w:rsidRPr="004471D9">
        <w:rPr>
          <w:lang w:eastAsia="en-GB"/>
        </w:rPr>
        <w:t>here is a need for standardizing requirements for both conducted and radiated disturbance</w:t>
      </w:r>
      <w:r w:rsidR="004B56E9" w:rsidRPr="004471D9">
        <w:rPr>
          <w:lang w:eastAsia="en-GB"/>
        </w:rPr>
        <w:t xml:space="preserve">s </w:t>
      </w:r>
      <w:r w:rsidR="00664D12" w:rsidRPr="004471D9">
        <w:rPr>
          <w:lang w:eastAsia="en-GB"/>
        </w:rPr>
        <w:t>in the frequency range from 9 kHz to 150 kHz and 150 kHz to 30 MHz taking account of:</w:t>
      </w:r>
    </w:p>
    <w:p w:rsidR="00664D12" w:rsidRPr="004471D9" w:rsidRDefault="00664D12" w:rsidP="004477C4">
      <w:pPr>
        <w:pStyle w:val="enumlev1"/>
        <w:numPr>
          <w:ilvl w:val="0"/>
          <w:numId w:val="3"/>
        </w:numPr>
        <w:ind w:left="1134" w:hanging="1134"/>
        <w:rPr>
          <w:lang w:eastAsia="en-GB"/>
        </w:rPr>
      </w:pPr>
      <w:r w:rsidRPr="004471D9">
        <w:rPr>
          <w:lang w:eastAsia="en-GB"/>
        </w:rPr>
        <w:t xml:space="preserve">the variety of types of EMI sources like </w:t>
      </w:r>
      <w:r w:rsidR="00F72707" w:rsidRPr="004471D9">
        <w:rPr>
          <w:lang w:eastAsia="en-GB"/>
        </w:rPr>
        <w:t>grid connected power converters</w:t>
      </w:r>
      <w:r w:rsidRPr="004471D9">
        <w:rPr>
          <w:lang w:eastAsia="en-GB"/>
        </w:rPr>
        <w:t xml:space="preserve">, LED lighting devices, </w:t>
      </w:r>
      <w:r w:rsidR="00F72707" w:rsidRPr="004471D9">
        <w:rPr>
          <w:lang w:eastAsia="en-GB"/>
        </w:rPr>
        <w:t>direct current</w:t>
      </w:r>
      <w:r w:rsidRPr="004471D9">
        <w:rPr>
          <w:lang w:eastAsia="en-GB"/>
        </w:rPr>
        <w:t xml:space="preserve"> charging for </w:t>
      </w:r>
      <w:r w:rsidR="00846446" w:rsidRPr="004471D9">
        <w:rPr>
          <w:lang w:eastAsia="en-GB"/>
        </w:rPr>
        <w:t>electric vehicles</w:t>
      </w:r>
      <w:r w:rsidRPr="004471D9">
        <w:rPr>
          <w:lang w:eastAsia="en-GB"/>
        </w:rPr>
        <w:t xml:space="preserve"> and wireless power transmission, which will be much more in commercial use in near future</w:t>
      </w:r>
      <w:r w:rsidR="004477C4">
        <w:rPr>
          <w:lang w:eastAsia="en-GB"/>
        </w:rPr>
        <w:t>;</w:t>
      </w:r>
    </w:p>
    <w:p w:rsidR="00664D12" w:rsidRPr="004471D9" w:rsidRDefault="00664D12" w:rsidP="004477C4">
      <w:pPr>
        <w:pStyle w:val="enumlev1"/>
        <w:numPr>
          <w:ilvl w:val="0"/>
          <w:numId w:val="3"/>
        </w:numPr>
        <w:ind w:left="1134" w:hanging="1134"/>
        <w:rPr>
          <w:lang w:eastAsia="en-GB"/>
        </w:rPr>
      </w:pPr>
      <w:r w:rsidRPr="004471D9">
        <w:rPr>
          <w:lang w:eastAsia="en-GB"/>
        </w:rPr>
        <w:t>the wide spread of types of EMI victims including non-radio services as smart meter,</w:t>
      </w:r>
      <w:r w:rsidR="00846446" w:rsidRPr="004471D9">
        <w:rPr>
          <w:lang w:eastAsia="en-GB"/>
        </w:rPr>
        <w:t xml:space="preserve"> </w:t>
      </w:r>
      <w:r w:rsidRPr="004471D9">
        <w:rPr>
          <w:lang w:eastAsia="en-GB"/>
        </w:rPr>
        <w:t>xDSL and sensi</w:t>
      </w:r>
      <w:r w:rsidR="00846446" w:rsidRPr="004471D9">
        <w:rPr>
          <w:lang w:eastAsia="en-GB"/>
        </w:rPr>
        <w:t xml:space="preserve">tive </w:t>
      </w:r>
      <w:r w:rsidRPr="004471D9">
        <w:rPr>
          <w:lang w:eastAsia="en-GB"/>
        </w:rPr>
        <w:t>electric/electronic medical equipment.</w:t>
      </w:r>
    </w:p>
    <w:p w:rsidR="00167ED8" w:rsidRPr="00167ED8" w:rsidRDefault="00167ED8" w:rsidP="00167ED8">
      <w:r w:rsidRPr="00BA28D7">
        <w:t>Working Party 1A was also advised of instances of EMI to l</w:t>
      </w:r>
      <w:r w:rsidRPr="00BA28D7">
        <w:rPr>
          <w:lang w:val="en-US"/>
        </w:rPr>
        <w:t>ow frequency to high frequency electronic article surveillance systems, typicall</w:t>
      </w:r>
      <w:r w:rsidR="00BA28D7" w:rsidRPr="00BA28D7">
        <w:rPr>
          <w:lang w:val="en-US"/>
        </w:rPr>
        <w:t>y operating between 1.75 and 9.5</w:t>
      </w:r>
      <w:r w:rsidRPr="00BA28D7">
        <w:rPr>
          <w:lang w:val="en-US"/>
        </w:rPr>
        <w:t xml:space="preserve"> MHz</w:t>
      </w:r>
      <w:r w:rsidR="00BA28D7">
        <w:rPr>
          <w:lang w:val="en-US"/>
        </w:rPr>
        <w:t xml:space="preserve"> (many units in E</w:t>
      </w:r>
      <w:r w:rsidR="00846446" w:rsidRPr="00BA28D7">
        <w:rPr>
          <w:lang w:val="en-US"/>
        </w:rPr>
        <w:t>ur</w:t>
      </w:r>
      <w:r w:rsidR="00BA28D7">
        <w:rPr>
          <w:lang w:val="en-US"/>
        </w:rPr>
        <w:t>ope</w:t>
      </w:r>
      <w:r w:rsidR="00846446" w:rsidRPr="00BA28D7">
        <w:rPr>
          <w:lang w:val="en-US"/>
        </w:rPr>
        <w:t xml:space="preserve"> operating at 8.2 MHz)</w:t>
      </w:r>
      <w:r w:rsidR="00BA28D7">
        <w:rPr>
          <w:lang w:val="en-US"/>
        </w:rPr>
        <w:t xml:space="preserve"> and RFID</w:t>
      </w:r>
      <w:r w:rsidRPr="00BA28D7">
        <w:rPr>
          <w:lang w:val="en-US"/>
        </w:rPr>
        <w:t xml:space="preserve"> near field systems at operating at 13</w:t>
      </w:r>
      <w:r w:rsidR="00846446" w:rsidRPr="00BA28D7">
        <w:rPr>
          <w:lang w:val="en-US"/>
        </w:rPr>
        <w:t>.6</w:t>
      </w:r>
      <w:r w:rsidRPr="00BA28D7">
        <w:rPr>
          <w:lang w:val="en-US"/>
        </w:rPr>
        <w:t xml:space="preserve"> MHz.</w:t>
      </w:r>
    </w:p>
    <w:p w:rsidR="009C3429" w:rsidRDefault="00C60D57" w:rsidP="009C3429">
      <w:pPr>
        <w:pStyle w:val="Heading1"/>
      </w:pPr>
      <w:r>
        <w:t>3</w:t>
      </w:r>
      <w:r>
        <w:tab/>
      </w:r>
      <w:r w:rsidR="009C3429">
        <w:t>Sources and c</w:t>
      </w:r>
      <w:r w:rsidR="00846446">
        <w:t>ause of increasing levels of EMI</w:t>
      </w:r>
    </w:p>
    <w:p w:rsidR="00C60D57" w:rsidRDefault="00A01D09" w:rsidP="00A03F8B">
      <w:pPr>
        <w:rPr>
          <w:lang w:eastAsia="zh-CN"/>
        </w:rPr>
      </w:pPr>
      <w:r w:rsidRPr="009C3429">
        <w:t>A</w:t>
      </w:r>
      <w:r w:rsidR="00C60D57">
        <w:t>s well as poor design and manufacturing practices, ageing of components in power conversion stages and thermal stress on those compone</w:t>
      </w:r>
      <w:r w:rsidR="00846446">
        <w:t>n</w:t>
      </w:r>
      <w:r w:rsidR="00C60D57">
        <w:t xml:space="preserve">ts was identified as a key factor in increasing levels of EMI: In </w:t>
      </w:r>
      <w:proofErr w:type="gramStart"/>
      <w:r w:rsidR="00C60D57">
        <w:t>fact</w:t>
      </w:r>
      <w:proofErr w:type="gramEnd"/>
      <w:r w:rsidR="00C60D57">
        <w:t xml:space="preserve"> there is a vicious circle by which raised levels of RF voltages on mains supplies contribute to thermal stress and consequent ageing of components, resulting in more RF emissions an</w:t>
      </w:r>
      <w:r w:rsidR="00846446">
        <w:t>d</w:t>
      </w:r>
      <w:r w:rsidR="00C60D57">
        <w:t xml:space="preserve"> so on</w:t>
      </w:r>
      <w:r w:rsidR="00846446">
        <w:t xml:space="preserve"> </w:t>
      </w:r>
      <w:r w:rsidR="00C60D57">
        <w:t>and so forth. A</w:t>
      </w:r>
      <w:r w:rsidRPr="009C3429">
        <w:t xml:space="preserve"> potent source of </w:t>
      </w:r>
      <w:r w:rsidR="00A03F8B" w:rsidRPr="009C3429">
        <w:t xml:space="preserve">RF emissions and consequent </w:t>
      </w:r>
      <w:r w:rsidR="00C60D57">
        <w:t xml:space="preserve">EMI through this mechanism is </w:t>
      </w:r>
      <w:r w:rsidRPr="009C3429">
        <w:t>LED lighting units and systems</w:t>
      </w:r>
      <w:r w:rsidR="00C60D57">
        <w:t xml:space="preserve">, with </w:t>
      </w:r>
      <w:r w:rsidR="00A03F8B" w:rsidRPr="009C3429">
        <w:t>RF e</w:t>
      </w:r>
      <w:r w:rsidR="00A03F8B" w:rsidRPr="009C3429">
        <w:rPr>
          <w:lang w:eastAsia="zh-CN"/>
        </w:rPr>
        <w:t>missions far above</w:t>
      </w:r>
      <w:r w:rsidR="004477C4">
        <w:rPr>
          <w:lang w:eastAsia="zh-CN"/>
        </w:rPr>
        <w:t xml:space="preserve"> the general EN </w:t>
      </w:r>
      <w:r w:rsidR="00A03F8B" w:rsidRPr="009C3429">
        <w:rPr>
          <w:lang w:eastAsia="zh-CN"/>
        </w:rPr>
        <w:t>55015/55011 limits and EN 50065 spurious emission limits hav</w:t>
      </w:r>
      <w:r w:rsidR="00C60D57">
        <w:rPr>
          <w:lang w:eastAsia="zh-CN"/>
        </w:rPr>
        <w:t>ing</w:t>
      </w:r>
      <w:r w:rsidR="00A03F8B" w:rsidRPr="009C3429">
        <w:rPr>
          <w:lang w:eastAsia="zh-CN"/>
        </w:rPr>
        <w:t xml:space="preserve"> been observed.</w:t>
      </w:r>
    </w:p>
    <w:p w:rsidR="00A03F8B" w:rsidRPr="009C3429" w:rsidRDefault="00A03F8B" w:rsidP="00A03F8B">
      <w:pPr>
        <w:rPr>
          <w:lang w:eastAsia="zh-CN"/>
        </w:rPr>
      </w:pPr>
      <w:r w:rsidRPr="009C3429">
        <w:rPr>
          <w:lang w:eastAsia="zh-CN"/>
        </w:rPr>
        <w:t>One</w:t>
      </w:r>
      <w:r w:rsidR="00167ED8">
        <w:rPr>
          <w:lang w:eastAsia="zh-CN"/>
        </w:rPr>
        <w:t xml:space="preserve"> effect of RF voltages being su</w:t>
      </w:r>
      <w:r w:rsidRPr="009C3429">
        <w:rPr>
          <w:lang w:eastAsia="zh-CN"/>
        </w:rPr>
        <w:t xml:space="preserve">perimposed on mains supplies is that key components in the switch mode power conversion stages suffer increased thermal stress, resulting in </w:t>
      </w:r>
      <w:r w:rsidR="00846446">
        <w:rPr>
          <w:lang w:eastAsia="zh-CN"/>
        </w:rPr>
        <w:t xml:space="preserve">further </w:t>
      </w:r>
      <w:r w:rsidRPr="009C3429">
        <w:rPr>
          <w:lang w:eastAsia="zh-CN"/>
        </w:rPr>
        <w:t>deterioration of those key components and causing additional RF noise to be superimposed on mains supplies; th</w:t>
      </w:r>
      <w:r w:rsidR="000E6A6E" w:rsidRPr="009C3429">
        <w:rPr>
          <w:lang w:eastAsia="zh-CN"/>
        </w:rPr>
        <w:t>ereby creating a vicious circle of rising RF noise levels.</w:t>
      </w:r>
      <w:r w:rsidRPr="009C3429">
        <w:rPr>
          <w:lang w:eastAsia="zh-CN"/>
        </w:rPr>
        <w:t xml:space="preserve"> </w:t>
      </w:r>
    </w:p>
    <w:p w:rsidR="009C3429" w:rsidRDefault="00017C91" w:rsidP="009C3429">
      <w:pPr>
        <w:pStyle w:val="Heading1"/>
      </w:pPr>
      <w:r w:rsidRPr="00BA28D7">
        <w:t>4</w:t>
      </w:r>
      <w:r w:rsidRPr="00BA28D7">
        <w:tab/>
      </w:r>
      <w:r w:rsidR="009C3429" w:rsidRPr="00BA28D7">
        <w:t>Future work</w:t>
      </w:r>
    </w:p>
    <w:p w:rsidR="00167ED8" w:rsidRDefault="00A2651A" w:rsidP="00A2651A">
      <w:pPr>
        <w:rPr>
          <w:lang w:val="en-US"/>
        </w:rPr>
      </w:pPr>
      <w:r w:rsidRPr="009C3429">
        <w:rPr>
          <w:lang w:val="en-US"/>
        </w:rPr>
        <w:t>W</w:t>
      </w:r>
      <w:r w:rsidR="00A404F9" w:rsidRPr="009C3429">
        <w:rPr>
          <w:lang w:val="en-US"/>
        </w:rPr>
        <w:t>orking Party 1A understands that work is in progress in several SDOs on combatting rising levels of RF noise emissions in general and the particular problems associated with L</w:t>
      </w:r>
      <w:r w:rsidR="00167ED8">
        <w:rPr>
          <w:lang w:val="en-US"/>
        </w:rPr>
        <w:t xml:space="preserve">ED lighting units and systems, and </w:t>
      </w:r>
      <w:r w:rsidRPr="009C3429">
        <w:rPr>
          <w:lang w:val="en-US"/>
        </w:rPr>
        <w:t xml:space="preserve">would like to be informed about </w:t>
      </w:r>
      <w:r w:rsidR="00167ED8">
        <w:rPr>
          <w:lang w:val="en-US"/>
        </w:rPr>
        <w:t>initiatives in this area.</w:t>
      </w:r>
    </w:p>
    <w:p w:rsidR="00A2651A" w:rsidRPr="009C3429" w:rsidRDefault="00846446" w:rsidP="00A2651A">
      <w:pPr>
        <w:rPr>
          <w:lang w:val="en-US"/>
        </w:rPr>
      </w:pPr>
      <w:r>
        <w:rPr>
          <w:lang w:val="en-US"/>
        </w:rPr>
        <w:t>H</w:t>
      </w:r>
      <w:r w:rsidR="00167ED8">
        <w:rPr>
          <w:lang w:val="en-US"/>
        </w:rPr>
        <w:t xml:space="preserve">owever, Working Party 1A would caution against moves to </w:t>
      </w:r>
      <w:r w:rsidR="00017C91">
        <w:rPr>
          <w:lang w:val="en-US"/>
        </w:rPr>
        <w:t xml:space="preserve">prioritize the costs of modifying equipment in the field or </w:t>
      </w:r>
      <w:r w:rsidR="00603F40">
        <w:rPr>
          <w:lang w:val="en-US"/>
        </w:rPr>
        <w:t xml:space="preserve">the costs of </w:t>
      </w:r>
      <w:r w:rsidR="00017C91">
        <w:rPr>
          <w:lang w:val="en-US"/>
        </w:rPr>
        <w:t>aiming for a zero tolerance approach to RF noise emissions at the design and manufacturing stages against the disbenefits of denial of service to a wide range of electronic communications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D05AE3" w:rsidRPr="00D05AE3" w:rsidTr="007F4011">
        <w:tc>
          <w:tcPr>
            <w:tcW w:w="9639" w:type="dxa"/>
            <w:gridSpan w:val="2"/>
          </w:tcPr>
          <w:p w:rsidR="00D05AE3" w:rsidRPr="00D05AE3" w:rsidRDefault="00D05AE3" w:rsidP="00ED4538">
            <w:pPr>
              <w:spacing w:before="360"/>
              <w:rPr>
                <w:b/>
                <w:bCs/>
              </w:rPr>
            </w:pPr>
            <w:r>
              <w:rPr>
                <w:b/>
                <w:lang w:val="en-US"/>
              </w:rPr>
              <w:t>Status</w:t>
            </w:r>
            <w:r w:rsidRPr="005569F7">
              <w:rPr>
                <w:b/>
                <w:lang w:val="en-US"/>
              </w:rPr>
              <w:t>:</w:t>
            </w:r>
            <w:r w:rsidRPr="005569F7">
              <w:rPr>
                <w:bCs/>
                <w:lang w:val="en-US"/>
              </w:rPr>
              <w:tab/>
            </w:r>
            <w:r>
              <w:rPr>
                <w:bCs/>
                <w:lang w:val="en-US"/>
              </w:rPr>
              <w:t>For information and action, as appropriate.</w:t>
            </w:r>
          </w:p>
        </w:tc>
      </w:tr>
      <w:tr w:rsidR="00D05AE3" w:rsidRPr="005569F7" w:rsidTr="001C30A6">
        <w:tc>
          <w:tcPr>
            <w:tcW w:w="9639" w:type="dxa"/>
            <w:gridSpan w:val="2"/>
          </w:tcPr>
          <w:p w:rsidR="00D05AE3" w:rsidRPr="00D05AE3" w:rsidRDefault="00D05AE3" w:rsidP="00D05AE3">
            <w:pPr>
              <w:rPr>
                <w:b/>
                <w:bCs/>
              </w:rPr>
            </w:pPr>
            <w:r>
              <w:rPr>
                <w:b/>
                <w:lang w:val="en-US"/>
              </w:rPr>
              <w:t>Deadline</w:t>
            </w:r>
            <w:r w:rsidRPr="005569F7">
              <w:rPr>
                <w:b/>
                <w:lang w:val="en-US"/>
              </w:rPr>
              <w:t>:</w:t>
            </w:r>
            <w:r w:rsidRPr="005569F7">
              <w:rPr>
                <w:bCs/>
                <w:lang w:val="en-US"/>
              </w:rPr>
              <w:tab/>
            </w:r>
            <w:r>
              <w:rPr>
                <w:bCs/>
                <w:lang w:val="en-US"/>
              </w:rPr>
              <w:t>If possible one week prior to the next meeting of Working Party 1A planned</w:t>
            </w:r>
            <w:r>
              <w:rPr>
                <w:bCs/>
                <w:lang w:val="en-US"/>
              </w:rPr>
              <w:br/>
            </w:r>
            <w:r w:rsidRPr="005569F7">
              <w:rPr>
                <w:bCs/>
                <w:lang w:val="en-US"/>
              </w:rPr>
              <w:tab/>
            </w:r>
            <w:r>
              <w:rPr>
                <w:bCs/>
                <w:lang w:val="en-US"/>
              </w:rPr>
              <w:t>to be held on 22 to 30 November 2016.</w:t>
            </w:r>
          </w:p>
        </w:tc>
      </w:tr>
      <w:tr w:rsidR="00A2651A" w:rsidRPr="005569F7" w:rsidTr="004477C4">
        <w:tc>
          <w:tcPr>
            <w:tcW w:w="5529" w:type="dxa"/>
          </w:tcPr>
          <w:p w:rsidR="00A2651A" w:rsidRPr="005569F7" w:rsidRDefault="00A2651A" w:rsidP="00D05AE3">
            <w:pPr>
              <w:rPr>
                <w:b/>
                <w:lang w:val="en-US"/>
              </w:rPr>
            </w:pPr>
            <w:r w:rsidRPr="005569F7">
              <w:rPr>
                <w:b/>
                <w:lang w:val="en-US"/>
              </w:rPr>
              <w:t>Contacts:</w:t>
            </w:r>
            <w:r w:rsidRPr="005569F7">
              <w:rPr>
                <w:bCs/>
                <w:lang w:val="en-US"/>
              </w:rPr>
              <w:tab/>
            </w:r>
            <w:r w:rsidRPr="00295670">
              <w:rPr>
                <w:b/>
                <w:lang w:val="en-US"/>
              </w:rPr>
              <w:t>Philippe Aubineau</w:t>
            </w:r>
          </w:p>
        </w:tc>
        <w:tc>
          <w:tcPr>
            <w:tcW w:w="4110" w:type="dxa"/>
          </w:tcPr>
          <w:p w:rsidR="00A2651A" w:rsidRPr="005569F7" w:rsidRDefault="00A2651A" w:rsidP="00D05AE3">
            <w:pPr>
              <w:rPr>
                <w:b/>
                <w:bCs/>
                <w:lang w:val="fr-CH"/>
              </w:rPr>
            </w:pPr>
            <w:proofErr w:type="gramStart"/>
            <w:r w:rsidRPr="005569F7">
              <w:rPr>
                <w:b/>
                <w:bCs/>
                <w:lang w:val="fr-CH"/>
              </w:rPr>
              <w:t>E-mail:</w:t>
            </w:r>
            <w:proofErr w:type="gramEnd"/>
            <w:r w:rsidRPr="005569F7">
              <w:rPr>
                <w:lang w:val="fr-CH"/>
              </w:rPr>
              <w:t xml:space="preserve"> </w:t>
            </w:r>
            <w:hyperlink r:id="rId9" w:history="1">
              <w:r w:rsidRPr="00ED4538">
                <w:rPr>
                  <w:rStyle w:val="Hyperlink"/>
                  <w:u w:val="single"/>
                  <w:lang w:val="fr-CH"/>
                </w:rPr>
                <w:t>philippe.aubineau@itu.int</w:t>
              </w:r>
            </w:hyperlink>
            <w:hyperlink r:id="rId10" w:history="1"/>
          </w:p>
        </w:tc>
      </w:tr>
      <w:tr w:rsidR="00A2651A" w:rsidRPr="005569F7" w:rsidTr="004477C4">
        <w:tc>
          <w:tcPr>
            <w:tcW w:w="9639" w:type="dxa"/>
            <w:gridSpan w:val="2"/>
          </w:tcPr>
          <w:p w:rsidR="00A2651A" w:rsidRPr="00A323B4" w:rsidRDefault="00A2651A" w:rsidP="00E72072">
            <w:pPr>
              <w:spacing w:before="0"/>
              <w:rPr>
                <w:b/>
                <w:bCs/>
                <w:lang w:val="en-US"/>
              </w:rPr>
            </w:pPr>
            <w:r w:rsidRPr="005569F7">
              <w:rPr>
                <w:bCs/>
                <w:lang w:val="en-US"/>
              </w:rPr>
              <w:tab/>
            </w:r>
            <w:r>
              <w:rPr>
                <w:bCs/>
                <w:lang w:val="en-US"/>
              </w:rPr>
              <w:t>(</w:t>
            </w:r>
            <w:r w:rsidRPr="005569F7">
              <w:rPr>
                <w:lang w:val="en-US" w:eastAsia="zh-CN"/>
              </w:rPr>
              <w:t>Counsellor</w:t>
            </w:r>
            <w:r>
              <w:rPr>
                <w:lang w:val="en-US" w:eastAsia="zh-CN"/>
              </w:rPr>
              <w:t xml:space="preserve"> for</w:t>
            </w:r>
            <w:r w:rsidRPr="005569F7">
              <w:rPr>
                <w:lang w:val="en-US" w:eastAsia="zh-CN"/>
              </w:rPr>
              <w:t xml:space="preserve"> </w:t>
            </w:r>
            <w:hyperlink r:id="rId11" w:history="1">
              <w:r w:rsidRPr="00ED4538">
                <w:rPr>
                  <w:rStyle w:val="Hyperlink"/>
                  <w:u w:val="single"/>
                  <w:lang w:val="en-US" w:eastAsia="zh-CN"/>
                </w:rPr>
                <w:t>ITU-R Study Group 1</w:t>
              </w:r>
            </w:hyperlink>
            <w:r>
              <w:rPr>
                <w:lang w:val="en-US" w:eastAsia="zh-CN"/>
              </w:rPr>
              <w:t>)</w:t>
            </w:r>
          </w:p>
        </w:tc>
      </w:tr>
      <w:tr w:rsidR="00A2651A" w:rsidRPr="005569F7" w:rsidTr="004477C4">
        <w:tc>
          <w:tcPr>
            <w:tcW w:w="5529" w:type="dxa"/>
          </w:tcPr>
          <w:p w:rsidR="00A2651A" w:rsidRPr="005569F7" w:rsidRDefault="00A2651A" w:rsidP="00E72072">
            <w:pPr>
              <w:rPr>
                <w:b/>
                <w:lang w:val="fr-CH"/>
              </w:rPr>
            </w:pPr>
            <w:r w:rsidRPr="00A323B4">
              <w:rPr>
                <w:bCs/>
                <w:lang w:val="en-US"/>
              </w:rPr>
              <w:tab/>
            </w:r>
            <w:r w:rsidRPr="00295670">
              <w:rPr>
                <w:b/>
                <w:lang w:val="fr-CH"/>
              </w:rPr>
              <w:t>John Shaw</w:t>
            </w:r>
          </w:p>
        </w:tc>
        <w:tc>
          <w:tcPr>
            <w:tcW w:w="4110" w:type="dxa"/>
          </w:tcPr>
          <w:p w:rsidR="00A2651A" w:rsidRPr="005569F7" w:rsidRDefault="00A2651A" w:rsidP="00E72072">
            <w:pPr>
              <w:rPr>
                <w:b/>
                <w:lang w:val="fr-CH"/>
              </w:rPr>
            </w:pPr>
            <w:proofErr w:type="gramStart"/>
            <w:r w:rsidRPr="005569F7">
              <w:rPr>
                <w:b/>
                <w:bCs/>
                <w:lang w:val="fr-CH"/>
              </w:rPr>
              <w:t>E-mail:</w:t>
            </w:r>
            <w:proofErr w:type="gramEnd"/>
            <w:r w:rsidRPr="005569F7">
              <w:rPr>
                <w:lang w:val="fr-CH"/>
              </w:rPr>
              <w:t xml:space="preserve"> </w:t>
            </w:r>
            <w:hyperlink r:id="rId12" w:history="1">
              <w:r w:rsidRPr="00ED4538">
                <w:rPr>
                  <w:rStyle w:val="Hyperlink"/>
                  <w:u w:val="single"/>
                  <w:lang w:val="fr-CH"/>
                </w:rPr>
                <w:t>shawzone@usa.net</w:t>
              </w:r>
            </w:hyperlink>
            <w:hyperlink r:id="rId13" w:history="1"/>
          </w:p>
        </w:tc>
      </w:tr>
      <w:tr w:rsidR="00A2651A" w:rsidRPr="008511A5" w:rsidTr="004477C4">
        <w:tc>
          <w:tcPr>
            <w:tcW w:w="9639" w:type="dxa"/>
            <w:gridSpan w:val="2"/>
          </w:tcPr>
          <w:p w:rsidR="00A2651A" w:rsidRPr="006A367C" w:rsidRDefault="00A2651A" w:rsidP="00E72072">
            <w:pPr>
              <w:spacing w:before="0"/>
              <w:rPr>
                <w:b/>
                <w:bCs/>
                <w:lang w:val="en-US"/>
              </w:rPr>
            </w:pPr>
            <w:r w:rsidRPr="00A323B4">
              <w:rPr>
                <w:bCs/>
                <w:lang w:val="en-US"/>
              </w:rPr>
              <w:tab/>
            </w:r>
            <w:r>
              <w:rPr>
                <w:bCs/>
                <w:lang w:val="en-US"/>
              </w:rPr>
              <w:t xml:space="preserve">(Rapporteur of the </w:t>
            </w:r>
            <w:r>
              <w:rPr>
                <w:lang w:eastAsia="ja-JP"/>
              </w:rPr>
              <w:t xml:space="preserve">Working Party 1A Rapporteur Group on the </w:t>
            </w:r>
            <w:r>
              <w:rPr>
                <w:lang w:eastAsia="ja-JP"/>
              </w:rPr>
              <w:br/>
            </w:r>
            <w:r w:rsidRPr="00EA3B55">
              <w:rPr>
                <w:bCs/>
                <w:lang w:val="en-US"/>
              </w:rPr>
              <w:tab/>
            </w:r>
            <w:r w:rsidRPr="00A91375">
              <w:t>coexistence of wired telecommunication with radiocommunication systems</w:t>
            </w:r>
            <w:r>
              <w:t>)</w:t>
            </w:r>
          </w:p>
        </w:tc>
      </w:tr>
    </w:tbl>
    <w:p w:rsidR="009C3429" w:rsidRDefault="00211CF3" w:rsidP="004477C4">
      <w:pPr>
        <w:jc w:val="center"/>
        <w:rPr>
          <w:lang w:val="en-US" w:eastAsia="zh-CN"/>
        </w:rPr>
      </w:pPr>
      <w:r>
        <w:t>______________</w:t>
      </w:r>
    </w:p>
    <w:sectPr w:rsidR="009C3429" w:rsidSect="00ED4538">
      <w:headerReference w:type="default" r:id="rId14"/>
      <w:footerReference w:type="default" r:id="rId15"/>
      <w:footerReference w:type="first" r:id="rId16"/>
      <w:pgSz w:w="11907" w:h="16834" w:code="9"/>
      <w:pgMar w:top="1418" w:right="1134" w:bottom="794" w:left="1134" w:header="720" w:footer="34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01" w:rsidRDefault="00D36F01">
      <w:r>
        <w:separator/>
      </w:r>
    </w:p>
  </w:endnote>
  <w:endnote w:type="continuationSeparator" w:id="0">
    <w:p w:rsidR="00D36F01" w:rsidRDefault="00D3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01" w:rsidRDefault="00D36F01" w:rsidP="004477C4">
    <w:pPr>
      <w:pStyle w:val="Footer"/>
    </w:pPr>
    <w:r>
      <w:fldChar w:fldCharType="begin"/>
    </w:r>
    <w:r>
      <w:instrText xml:space="preserve"> FILENAME \p  \* MERGEFORMAT </w:instrText>
    </w:r>
    <w:r>
      <w:fldChar w:fldCharType="separate"/>
    </w:r>
    <w:r w:rsidR="00503BE5">
      <w:t>M:\BRSGD\TEXT2016\SG01\WP1A\000\060\060N17e.docx</w:t>
    </w:r>
    <w:r>
      <w:fldChar w:fldCharType="end"/>
    </w:r>
    <w:r w:rsidR="004477C4">
      <w:tab/>
    </w:r>
    <w:r w:rsidR="004477C4">
      <w:fldChar w:fldCharType="begin"/>
    </w:r>
    <w:r w:rsidR="004477C4">
      <w:instrText xml:space="preserve"> SAVEDATE \@ DD.MM.YY </w:instrText>
    </w:r>
    <w:r w:rsidR="004477C4">
      <w:fldChar w:fldCharType="separate"/>
    </w:r>
    <w:r w:rsidR="00B92F0D">
      <w:t>14.06.16</w:t>
    </w:r>
    <w:r w:rsidR="004477C4">
      <w:fldChar w:fldCharType="end"/>
    </w:r>
    <w:r w:rsidR="004477C4">
      <w:tab/>
    </w:r>
    <w:r w:rsidR="004477C4">
      <w:fldChar w:fldCharType="begin"/>
    </w:r>
    <w:r w:rsidR="004477C4">
      <w:instrText xml:space="preserve"> PRINTDATE \@ DD.MM.YY </w:instrText>
    </w:r>
    <w:r w:rsidR="004477C4">
      <w:fldChar w:fldCharType="separate"/>
    </w:r>
    <w:r w:rsidR="00503BE5">
      <w:t>09.06.16</w:t>
    </w:r>
    <w:r w:rsidR="004477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01" w:rsidRDefault="00D36F01" w:rsidP="004477C4">
    <w:pPr>
      <w:pStyle w:val="Footer"/>
    </w:pPr>
    <w:r>
      <w:fldChar w:fldCharType="begin"/>
    </w:r>
    <w:r>
      <w:instrText xml:space="preserve"> FILENAME \p  \* MERGEFORMAT </w:instrText>
    </w:r>
    <w:r>
      <w:fldChar w:fldCharType="separate"/>
    </w:r>
    <w:r w:rsidR="00503BE5">
      <w:t>M:\BRSGD\TEXT2016\SG01\WP1A\000\060\060N17e.docx</w:t>
    </w:r>
    <w:r>
      <w:fldChar w:fldCharType="end"/>
    </w:r>
    <w:r w:rsidR="004477C4">
      <w:tab/>
    </w:r>
    <w:r w:rsidR="004477C4">
      <w:fldChar w:fldCharType="begin"/>
    </w:r>
    <w:r w:rsidR="004477C4">
      <w:instrText xml:space="preserve"> SAVEDATE \@ DD.MM.YY </w:instrText>
    </w:r>
    <w:r w:rsidR="004477C4">
      <w:fldChar w:fldCharType="separate"/>
    </w:r>
    <w:r w:rsidR="00B92F0D">
      <w:t>14.06.16</w:t>
    </w:r>
    <w:r w:rsidR="004477C4">
      <w:fldChar w:fldCharType="end"/>
    </w:r>
    <w:r w:rsidR="004477C4">
      <w:tab/>
    </w:r>
    <w:r w:rsidR="004477C4">
      <w:fldChar w:fldCharType="begin"/>
    </w:r>
    <w:r w:rsidR="004477C4">
      <w:instrText xml:space="preserve"> PRINTDATE \@ DD.MM.YY </w:instrText>
    </w:r>
    <w:r w:rsidR="004477C4">
      <w:fldChar w:fldCharType="separate"/>
    </w:r>
    <w:r w:rsidR="00503BE5">
      <w:t>09.06.16</w:t>
    </w:r>
    <w:r w:rsidR="004477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01" w:rsidRDefault="00D36F01">
      <w:r>
        <w:t>____________________</w:t>
      </w:r>
    </w:p>
  </w:footnote>
  <w:footnote w:type="continuationSeparator" w:id="0">
    <w:p w:rsidR="00D36F01" w:rsidRDefault="00D36F01">
      <w:r>
        <w:continuationSeparator/>
      </w:r>
    </w:p>
  </w:footnote>
  <w:footnote w:id="1">
    <w:p w:rsidR="00314A7A" w:rsidRDefault="00314A7A" w:rsidP="001B77EC">
      <w:pPr>
        <w:pStyle w:val="FootnoteText"/>
        <w:spacing w:after="120"/>
      </w:pPr>
      <w:r>
        <w:rPr>
          <w:rStyle w:val="FootnoteReference"/>
        </w:rPr>
        <w:footnoteRef/>
      </w:r>
      <w:r>
        <w:t xml:space="preserve"> </w:t>
      </w:r>
      <w:r>
        <w:tab/>
      </w:r>
      <w:r w:rsidRPr="007765F6">
        <w:t xml:space="preserve">External organization </w:t>
      </w:r>
      <w:r>
        <w:t xml:space="preserve">with an interest </w:t>
      </w:r>
      <w:r w:rsidRPr="007765F6">
        <w:t xml:space="preserve">in </w:t>
      </w:r>
      <w:r>
        <w:t xml:space="preserve">conducted and radiated emissions form electrical and electronic equipment </w:t>
      </w:r>
      <w:r w:rsidRPr="00C70D5E">
        <w:t>CENELEC</w:t>
      </w:r>
      <w:r>
        <w:t>-</w:t>
      </w:r>
      <w:r w:rsidRPr="00846446">
        <w:t xml:space="preserve">CLC/TC210, </w:t>
      </w:r>
      <w:r>
        <w:t xml:space="preserve">ETSI, </w:t>
      </w:r>
      <w:r w:rsidRPr="00846446">
        <w:t>IEC and IEEE.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B92F0D">
      <w:rPr>
        <w:rStyle w:val="PageNumber"/>
        <w:noProof/>
      </w:rPr>
      <w:t>2</w:t>
    </w:r>
    <w:r w:rsidR="00D02712">
      <w:rPr>
        <w:rStyle w:val="PageNumber"/>
      </w:rPr>
      <w:fldChar w:fldCharType="end"/>
    </w:r>
    <w:r>
      <w:rPr>
        <w:rStyle w:val="PageNumber"/>
      </w:rPr>
      <w:t xml:space="preserve"> -</w:t>
    </w:r>
  </w:p>
  <w:p w:rsidR="00FA124A" w:rsidRDefault="00314A7A" w:rsidP="00314A7A">
    <w:pPr>
      <w:pStyle w:val="Header"/>
      <w:rPr>
        <w:lang w:val="en-US"/>
      </w:rPr>
    </w:pPr>
    <w:r>
      <w:rPr>
        <w:lang w:val="en-US"/>
      </w:rPr>
      <w:t>1A/60 (Annex 17)-E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FD0"/>
    <w:multiLevelType w:val="hybridMultilevel"/>
    <w:tmpl w:val="A6489076"/>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BFA"/>
    <w:multiLevelType w:val="multilevel"/>
    <w:tmpl w:val="D75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46FC4"/>
    <w:multiLevelType w:val="hybridMultilevel"/>
    <w:tmpl w:val="257A1918"/>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fr-CH" w:vendorID="64" w:dllVersion="131078" w:nlCheck="1" w:checkStyle="0"/>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EC"/>
    <w:rsid w:val="00004019"/>
    <w:rsid w:val="000069D4"/>
    <w:rsid w:val="000174AD"/>
    <w:rsid w:val="00017C91"/>
    <w:rsid w:val="00047A1D"/>
    <w:rsid w:val="00051F74"/>
    <w:rsid w:val="000604B9"/>
    <w:rsid w:val="00077430"/>
    <w:rsid w:val="000A3DAB"/>
    <w:rsid w:val="000A7D55"/>
    <w:rsid w:val="000C2E8E"/>
    <w:rsid w:val="000E0E7C"/>
    <w:rsid w:val="000E6A6E"/>
    <w:rsid w:val="000F1B4B"/>
    <w:rsid w:val="0012744F"/>
    <w:rsid w:val="00131178"/>
    <w:rsid w:val="00156F66"/>
    <w:rsid w:val="00163271"/>
    <w:rsid w:val="00163628"/>
    <w:rsid w:val="00167ED8"/>
    <w:rsid w:val="00177043"/>
    <w:rsid w:val="00182528"/>
    <w:rsid w:val="0018500B"/>
    <w:rsid w:val="00196A19"/>
    <w:rsid w:val="001A0E34"/>
    <w:rsid w:val="001B77EC"/>
    <w:rsid w:val="00202DC1"/>
    <w:rsid w:val="002116EE"/>
    <w:rsid w:val="00211CF3"/>
    <w:rsid w:val="002309D8"/>
    <w:rsid w:val="00237BF5"/>
    <w:rsid w:val="002A7FE2"/>
    <w:rsid w:val="002C00F8"/>
    <w:rsid w:val="002D0634"/>
    <w:rsid w:val="002E1B4F"/>
    <w:rsid w:val="002F2E67"/>
    <w:rsid w:val="002F7CB3"/>
    <w:rsid w:val="00314A7A"/>
    <w:rsid w:val="00315103"/>
    <w:rsid w:val="00315546"/>
    <w:rsid w:val="00321B36"/>
    <w:rsid w:val="00330567"/>
    <w:rsid w:val="00386A9D"/>
    <w:rsid w:val="00391081"/>
    <w:rsid w:val="003B2789"/>
    <w:rsid w:val="003C13CE"/>
    <w:rsid w:val="003C19B7"/>
    <w:rsid w:val="003E2518"/>
    <w:rsid w:val="003E7CEF"/>
    <w:rsid w:val="004471D9"/>
    <w:rsid w:val="004477C4"/>
    <w:rsid w:val="00495525"/>
    <w:rsid w:val="004B1EF7"/>
    <w:rsid w:val="004B3FAD"/>
    <w:rsid w:val="004B56E9"/>
    <w:rsid w:val="004D040B"/>
    <w:rsid w:val="00501DCA"/>
    <w:rsid w:val="00503BE5"/>
    <w:rsid w:val="00513A47"/>
    <w:rsid w:val="005408DF"/>
    <w:rsid w:val="00573344"/>
    <w:rsid w:val="00583F9B"/>
    <w:rsid w:val="005B2695"/>
    <w:rsid w:val="005E5C10"/>
    <w:rsid w:val="005F2C78"/>
    <w:rsid w:val="00603F40"/>
    <w:rsid w:val="006144E4"/>
    <w:rsid w:val="00635D58"/>
    <w:rsid w:val="00637D68"/>
    <w:rsid w:val="00650299"/>
    <w:rsid w:val="00655FC5"/>
    <w:rsid w:val="00664D12"/>
    <w:rsid w:val="006F784B"/>
    <w:rsid w:val="006F7D24"/>
    <w:rsid w:val="007E6EAE"/>
    <w:rsid w:val="00814E0A"/>
    <w:rsid w:val="00822581"/>
    <w:rsid w:val="008309DD"/>
    <w:rsid w:val="0083227A"/>
    <w:rsid w:val="0084575D"/>
    <w:rsid w:val="00846446"/>
    <w:rsid w:val="00863670"/>
    <w:rsid w:val="00866900"/>
    <w:rsid w:val="00877851"/>
    <w:rsid w:val="00881BA1"/>
    <w:rsid w:val="008B63EC"/>
    <w:rsid w:val="008C26B8"/>
    <w:rsid w:val="008F208F"/>
    <w:rsid w:val="00982084"/>
    <w:rsid w:val="00995963"/>
    <w:rsid w:val="009B61EB"/>
    <w:rsid w:val="009C2064"/>
    <w:rsid w:val="009C3429"/>
    <w:rsid w:val="009D1697"/>
    <w:rsid w:val="009F3A46"/>
    <w:rsid w:val="00A014F8"/>
    <w:rsid w:val="00A01D09"/>
    <w:rsid w:val="00A03F8B"/>
    <w:rsid w:val="00A2651A"/>
    <w:rsid w:val="00A35985"/>
    <w:rsid w:val="00A404F9"/>
    <w:rsid w:val="00A5173C"/>
    <w:rsid w:val="00A61AEF"/>
    <w:rsid w:val="00AC4E06"/>
    <w:rsid w:val="00AD2345"/>
    <w:rsid w:val="00AF173A"/>
    <w:rsid w:val="00B066A4"/>
    <w:rsid w:val="00B07A13"/>
    <w:rsid w:val="00B21DA8"/>
    <w:rsid w:val="00B311C1"/>
    <w:rsid w:val="00B4279B"/>
    <w:rsid w:val="00B45FC9"/>
    <w:rsid w:val="00B81138"/>
    <w:rsid w:val="00B92F0D"/>
    <w:rsid w:val="00BA28D7"/>
    <w:rsid w:val="00BC7CCF"/>
    <w:rsid w:val="00BE470B"/>
    <w:rsid w:val="00C57A91"/>
    <w:rsid w:val="00C60D57"/>
    <w:rsid w:val="00C70D5E"/>
    <w:rsid w:val="00CC01C2"/>
    <w:rsid w:val="00CF21F2"/>
    <w:rsid w:val="00D02712"/>
    <w:rsid w:val="00D046A7"/>
    <w:rsid w:val="00D05AE3"/>
    <w:rsid w:val="00D14830"/>
    <w:rsid w:val="00D214D0"/>
    <w:rsid w:val="00D36F01"/>
    <w:rsid w:val="00D6546B"/>
    <w:rsid w:val="00D97E6E"/>
    <w:rsid w:val="00DB178B"/>
    <w:rsid w:val="00DC17D3"/>
    <w:rsid w:val="00DD4BED"/>
    <w:rsid w:val="00DE39F0"/>
    <w:rsid w:val="00DE457A"/>
    <w:rsid w:val="00DF0AF3"/>
    <w:rsid w:val="00DF7E9F"/>
    <w:rsid w:val="00E0419C"/>
    <w:rsid w:val="00E238E1"/>
    <w:rsid w:val="00E27D7E"/>
    <w:rsid w:val="00E42E13"/>
    <w:rsid w:val="00E50A4F"/>
    <w:rsid w:val="00E56D5C"/>
    <w:rsid w:val="00E6257C"/>
    <w:rsid w:val="00E63C59"/>
    <w:rsid w:val="00ED4538"/>
    <w:rsid w:val="00ED4F12"/>
    <w:rsid w:val="00F25662"/>
    <w:rsid w:val="00F64263"/>
    <w:rsid w:val="00F72707"/>
    <w:rsid w:val="00F932FF"/>
    <w:rsid w:val="00F958F6"/>
    <w:rsid w:val="00FA124A"/>
    <w:rsid w:val="00FC08DD"/>
    <w:rsid w:val="00FC2316"/>
    <w:rsid w:val="00FC2CFD"/>
    <w:rsid w:val="00FD5D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68B402-AFEB-491D-BC8B-8E8430E7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211CF3"/>
    <w:rPr>
      <w:rFonts w:cs="Times New Roman"/>
      <w:color w:val="0000FF"/>
      <w:u w:val="none"/>
    </w:rPr>
  </w:style>
  <w:style w:type="paragraph" w:styleId="BalloonText">
    <w:name w:val="Balloon Text"/>
    <w:basedOn w:val="Normal"/>
    <w:link w:val="BalloonTextChar"/>
    <w:semiHidden/>
    <w:unhideWhenUsed/>
    <w:rsid w:val="0000401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04019"/>
    <w:rPr>
      <w:rFonts w:ascii="Tahoma" w:hAnsi="Tahoma" w:cs="Tahoma"/>
      <w:sz w:val="16"/>
      <w:szCs w:val="16"/>
      <w:lang w:val="en-GB" w:eastAsia="en-US"/>
    </w:rPr>
  </w:style>
  <w:style w:type="table" w:styleId="TableGrid">
    <w:name w:val="Table Grid"/>
    <w:basedOn w:val="TableNormal"/>
    <w:rsid w:val="00A2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uiPriority w:val="99"/>
    <w:locked/>
    <w:rsid w:val="00A03F8B"/>
    <w:rPr>
      <w:rFonts w:ascii="Times New Roman" w:hAnsi="Times New Roman"/>
      <w:sz w:val="24"/>
      <w:lang w:val="en-GB" w:eastAsia="en-US"/>
    </w:rPr>
  </w:style>
  <w:style w:type="character" w:customStyle="1" w:styleId="Hyperlink0">
    <w:name w:val="Hyperlink.0"/>
    <w:basedOn w:val="DefaultParagraphFont"/>
    <w:rsid w:val="00C70D5E"/>
    <w:rPr>
      <w:color w:val="011EA9"/>
      <w:u w:val="single"/>
    </w:rPr>
  </w:style>
  <w:style w:type="character" w:customStyle="1" w:styleId="SourceChar">
    <w:name w:val="Source Char"/>
    <w:basedOn w:val="DefaultParagraphFont"/>
    <w:link w:val="Source"/>
    <w:locked/>
    <w:rsid w:val="00314A7A"/>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4444">
      <w:bodyDiv w:val="1"/>
      <w:marLeft w:val="0"/>
      <w:marRight w:val="0"/>
      <w:marTop w:val="0"/>
      <w:marBottom w:val="0"/>
      <w:divBdr>
        <w:top w:val="none" w:sz="0" w:space="0" w:color="auto"/>
        <w:left w:val="none" w:sz="0" w:space="0" w:color="auto"/>
        <w:bottom w:val="none" w:sz="0" w:space="0" w:color="auto"/>
        <w:right w:val="none" w:sz="0" w:space="0" w:color="auto"/>
      </w:divBdr>
      <w:divsChild>
        <w:div w:id="1307321096">
          <w:marLeft w:val="0"/>
          <w:marRight w:val="0"/>
          <w:marTop w:val="0"/>
          <w:marBottom w:val="0"/>
          <w:divBdr>
            <w:top w:val="none" w:sz="0" w:space="0" w:color="auto"/>
            <w:left w:val="none" w:sz="0" w:space="0" w:color="auto"/>
            <w:bottom w:val="none" w:sz="0" w:space="0" w:color="auto"/>
            <w:right w:val="none" w:sz="0" w:space="0" w:color="auto"/>
          </w:divBdr>
          <w:divsChild>
            <w:div w:id="670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hawzone@usa.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R/study-groups/rsg1/Pages/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philippe.aubineau@itu.in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MJ Lynch &amp; Associates LLC</cp:lastModifiedBy>
  <cp:revision>2</cp:revision>
  <cp:lastPrinted>2016-06-09T06:29:00Z</cp:lastPrinted>
  <dcterms:created xsi:type="dcterms:W3CDTF">2016-07-18T22:26:00Z</dcterms:created>
  <dcterms:modified xsi:type="dcterms:W3CDTF">2016-07-18T22:26:00Z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