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A75F2B" w:rsidRPr="00A75F2B">
        <w:trPr>
          <w:cantSplit/>
        </w:trPr>
        <w:tc>
          <w:tcPr>
            <w:tcW w:w="4857" w:type="dxa"/>
            <w:gridSpan w:val="2"/>
          </w:tcPr>
          <w:p w:rsidR="00A75F2B" w:rsidRPr="00A75F2B" w:rsidRDefault="00A75F2B" w:rsidP="00A75F2B">
            <w:pPr>
              <w:rPr>
                <w:sz w:val="20"/>
              </w:rPr>
            </w:pPr>
            <w:bookmarkStart w:id="0" w:name="dsg" w:colFirst="1" w:colLast="1"/>
            <w:bookmarkStart w:id="1" w:name="dtableau"/>
            <w:bookmarkStart w:id="2" w:name="_GoBack"/>
            <w:bookmarkEnd w:id="2"/>
            <w:r w:rsidRPr="00A75F2B">
              <w:rPr>
                <w:sz w:val="20"/>
              </w:rPr>
              <w:t>INTERNATIONAL TELECOMMUNICATION UNION</w:t>
            </w:r>
          </w:p>
        </w:tc>
        <w:tc>
          <w:tcPr>
            <w:tcW w:w="5066" w:type="dxa"/>
          </w:tcPr>
          <w:p w:rsidR="00A75F2B" w:rsidRPr="00A75F2B" w:rsidRDefault="00A75F2B" w:rsidP="00A75F2B">
            <w:pPr>
              <w:jc w:val="right"/>
              <w:rPr>
                <w:b/>
                <w:bCs/>
                <w:smallCaps/>
                <w:sz w:val="32"/>
              </w:rPr>
            </w:pPr>
            <w:r>
              <w:rPr>
                <w:b/>
                <w:bCs/>
                <w:smallCaps/>
                <w:sz w:val="32"/>
              </w:rPr>
              <w:t>STUDY GROUP 15</w:t>
            </w:r>
          </w:p>
        </w:tc>
      </w:tr>
      <w:tr w:rsidR="00A75F2B" w:rsidRPr="00A75F2B">
        <w:trPr>
          <w:cantSplit/>
          <w:trHeight w:val="461"/>
        </w:trPr>
        <w:tc>
          <w:tcPr>
            <w:tcW w:w="4857" w:type="dxa"/>
            <w:gridSpan w:val="2"/>
            <w:vMerge w:val="restart"/>
            <w:tcBorders>
              <w:bottom w:val="nil"/>
            </w:tcBorders>
          </w:tcPr>
          <w:p w:rsidR="00A75F2B" w:rsidRPr="00A75F2B" w:rsidRDefault="00A75F2B" w:rsidP="00A75F2B">
            <w:pPr>
              <w:rPr>
                <w:b/>
                <w:bCs/>
                <w:sz w:val="26"/>
              </w:rPr>
            </w:pPr>
            <w:bookmarkStart w:id="3" w:name="dnum" w:colFirst="1" w:colLast="1"/>
            <w:bookmarkEnd w:id="0"/>
            <w:r w:rsidRPr="00A75F2B">
              <w:rPr>
                <w:b/>
                <w:bCs/>
                <w:sz w:val="26"/>
              </w:rPr>
              <w:t>TELECOMMUNICATION</w:t>
            </w:r>
            <w:r w:rsidRPr="00A75F2B">
              <w:rPr>
                <w:b/>
                <w:bCs/>
                <w:sz w:val="26"/>
              </w:rPr>
              <w:br/>
              <w:t>STANDARDIZATION SECTOR</w:t>
            </w:r>
          </w:p>
          <w:p w:rsidR="00A75F2B" w:rsidRPr="00A75F2B" w:rsidRDefault="00A75F2B" w:rsidP="00A75F2B">
            <w:pPr>
              <w:rPr>
                <w:smallCaps/>
                <w:sz w:val="20"/>
              </w:rPr>
            </w:pPr>
            <w:r w:rsidRPr="00A75F2B">
              <w:rPr>
                <w:sz w:val="20"/>
              </w:rPr>
              <w:t xml:space="preserve">STUDY PERIOD </w:t>
            </w:r>
            <w:r>
              <w:rPr>
                <w:sz w:val="20"/>
              </w:rPr>
              <w:t>2013-2016</w:t>
            </w:r>
          </w:p>
        </w:tc>
        <w:tc>
          <w:tcPr>
            <w:tcW w:w="5066" w:type="dxa"/>
            <w:tcBorders>
              <w:bottom w:val="nil"/>
            </w:tcBorders>
          </w:tcPr>
          <w:p w:rsidR="00A75F2B" w:rsidRPr="00A75F2B" w:rsidRDefault="00A75F2B" w:rsidP="00A75F2B">
            <w:pPr>
              <w:pStyle w:val="Docnumber"/>
            </w:pPr>
            <w:r>
              <w:t xml:space="preserve">TD 613 </w:t>
            </w:r>
            <w:r w:rsidR="00BE1A71">
              <w:t>Rev</w:t>
            </w:r>
            <w:r w:rsidR="00A5074F">
              <w:t xml:space="preserve">. </w:t>
            </w:r>
            <w:r w:rsidR="00BE1A71">
              <w:t>1</w:t>
            </w:r>
            <w:r>
              <w:t>(PLEN/15)</w:t>
            </w:r>
          </w:p>
        </w:tc>
      </w:tr>
      <w:tr w:rsidR="00A75F2B" w:rsidRPr="00A75F2B">
        <w:trPr>
          <w:cantSplit/>
          <w:trHeight w:val="355"/>
        </w:trPr>
        <w:tc>
          <w:tcPr>
            <w:tcW w:w="4857" w:type="dxa"/>
            <w:gridSpan w:val="2"/>
            <w:vMerge/>
            <w:tcBorders>
              <w:bottom w:val="single" w:sz="12" w:space="0" w:color="auto"/>
            </w:tcBorders>
          </w:tcPr>
          <w:p w:rsidR="00A75F2B" w:rsidRPr="00A75F2B" w:rsidRDefault="00A75F2B" w:rsidP="00A75F2B">
            <w:pPr>
              <w:rPr>
                <w:b/>
                <w:bCs/>
                <w:sz w:val="26"/>
              </w:rPr>
            </w:pPr>
            <w:bookmarkStart w:id="4" w:name="dorlang" w:colFirst="1" w:colLast="1"/>
            <w:bookmarkEnd w:id="3"/>
          </w:p>
        </w:tc>
        <w:tc>
          <w:tcPr>
            <w:tcW w:w="5066" w:type="dxa"/>
            <w:tcBorders>
              <w:bottom w:val="single" w:sz="12" w:space="0" w:color="auto"/>
            </w:tcBorders>
          </w:tcPr>
          <w:p w:rsidR="00A75F2B" w:rsidRDefault="00A75F2B" w:rsidP="00A75F2B">
            <w:pPr>
              <w:jc w:val="right"/>
              <w:rPr>
                <w:b/>
                <w:bCs/>
                <w:sz w:val="28"/>
              </w:rPr>
            </w:pPr>
            <w:r>
              <w:rPr>
                <w:b/>
                <w:bCs/>
                <w:sz w:val="28"/>
              </w:rPr>
              <w:t>English only</w:t>
            </w:r>
          </w:p>
          <w:p w:rsidR="00A75F2B" w:rsidRPr="00A75F2B" w:rsidRDefault="00A75F2B" w:rsidP="00A75F2B">
            <w:pPr>
              <w:jc w:val="right"/>
              <w:rPr>
                <w:b/>
                <w:bCs/>
                <w:sz w:val="28"/>
              </w:rPr>
            </w:pPr>
            <w:r>
              <w:rPr>
                <w:b/>
                <w:bCs/>
                <w:sz w:val="28"/>
              </w:rPr>
              <w:t>Original: English</w:t>
            </w:r>
          </w:p>
        </w:tc>
      </w:tr>
      <w:tr w:rsidR="00A75F2B" w:rsidRPr="00A75F2B">
        <w:trPr>
          <w:cantSplit/>
          <w:trHeight w:val="357"/>
        </w:trPr>
        <w:tc>
          <w:tcPr>
            <w:tcW w:w="1617" w:type="dxa"/>
          </w:tcPr>
          <w:p w:rsidR="00A75F2B" w:rsidRPr="00A75F2B" w:rsidRDefault="00A75F2B" w:rsidP="00A75F2B">
            <w:pPr>
              <w:rPr>
                <w:b/>
                <w:bCs/>
              </w:rPr>
            </w:pPr>
            <w:bookmarkStart w:id="5" w:name="dmeeting" w:colFirst="2" w:colLast="2"/>
            <w:bookmarkStart w:id="6" w:name="dbluepink" w:colFirst="1" w:colLast="1"/>
            <w:bookmarkEnd w:id="4"/>
            <w:r w:rsidRPr="00A75F2B">
              <w:rPr>
                <w:b/>
                <w:bCs/>
              </w:rPr>
              <w:t>Question(s):</w:t>
            </w:r>
          </w:p>
        </w:tc>
        <w:tc>
          <w:tcPr>
            <w:tcW w:w="3240" w:type="dxa"/>
          </w:tcPr>
          <w:p w:rsidR="00A75F2B" w:rsidRPr="00A75F2B" w:rsidRDefault="00A75F2B" w:rsidP="00A75F2B">
            <w:r w:rsidRPr="00A75F2B">
              <w:t>13</w:t>
            </w:r>
            <w:r w:rsidR="00E67E6B">
              <w:t>/15</w:t>
            </w:r>
          </w:p>
        </w:tc>
        <w:tc>
          <w:tcPr>
            <w:tcW w:w="5066" w:type="dxa"/>
          </w:tcPr>
          <w:p w:rsidR="00A75F2B" w:rsidRPr="00A75F2B" w:rsidRDefault="00A75F2B" w:rsidP="00A75F2B">
            <w:pPr>
              <w:jc w:val="right"/>
            </w:pPr>
            <w:r w:rsidRPr="00A75F2B">
              <w:t>Geneva, 19-30 September 2016</w:t>
            </w:r>
          </w:p>
        </w:tc>
      </w:tr>
      <w:tr w:rsidR="00A75F2B" w:rsidRPr="00A75F2B">
        <w:trPr>
          <w:cantSplit/>
          <w:trHeight w:val="357"/>
        </w:trPr>
        <w:tc>
          <w:tcPr>
            <w:tcW w:w="9923" w:type="dxa"/>
            <w:gridSpan w:val="3"/>
          </w:tcPr>
          <w:p w:rsidR="00A75F2B" w:rsidRPr="00A75F2B" w:rsidRDefault="00A75F2B" w:rsidP="00A75F2B">
            <w:pPr>
              <w:jc w:val="center"/>
              <w:rPr>
                <w:b/>
                <w:bCs/>
              </w:rPr>
            </w:pPr>
            <w:bookmarkStart w:id="7" w:name="dtitle" w:colFirst="0" w:colLast="0"/>
            <w:bookmarkEnd w:id="5"/>
            <w:bookmarkEnd w:id="6"/>
            <w:r w:rsidRPr="00A75F2B">
              <w:rPr>
                <w:b/>
                <w:bCs/>
              </w:rPr>
              <w:t>TD</w:t>
            </w:r>
          </w:p>
        </w:tc>
      </w:tr>
      <w:tr w:rsidR="00A75F2B" w:rsidRPr="00A75F2B">
        <w:trPr>
          <w:cantSplit/>
          <w:trHeight w:val="357"/>
        </w:trPr>
        <w:tc>
          <w:tcPr>
            <w:tcW w:w="1617" w:type="dxa"/>
          </w:tcPr>
          <w:p w:rsidR="00A75F2B" w:rsidRPr="00A75F2B" w:rsidRDefault="00A75F2B" w:rsidP="00A75F2B">
            <w:pPr>
              <w:rPr>
                <w:b/>
                <w:bCs/>
              </w:rPr>
            </w:pPr>
            <w:bookmarkStart w:id="8" w:name="dsource" w:colFirst="1" w:colLast="1"/>
            <w:bookmarkEnd w:id="7"/>
            <w:r w:rsidRPr="00A75F2B">
              <w:rPr>
                <w:b/>
                <w:bCs/>
              </w:rPr>
              <w:t>Source:</w:t>
            </w:r>
          </w:p>
        </w:tc>
        <w:tc>
          <w:tcPr>
            <w:tcW w:w="8306" w:type="dxa"/>
            <w:gridSpan w:val="2"/>
          </w:tcPr>
          <w:p w:rsidR="00A75F2B" w:rsidRPr="00A75F2B" w:rsidRDefault="00A75F2B">
            <w:r w:rsidRPr="00A75F2B">
              <w:t>Editor G.8272.1/Y.1367.1</w:t>
            </w:r>
          </w:p>
        </w:tc>
      </w:tr>
      <w:tr w:rsidR="00A75F2B" w:rsidRPr="00A75F2B">
        <w:trPr>
          <w:cantSplit/>
          <w:trHeight w:val="357"/>
        </w:trPr>
        <w:tc>
          <w:tcPr>
            <w:tcW w:w="1617" w:type="dxa"/>
            <w:tcBorders>
              <w:bottom w:val="single" w:sz="12" w:space="0" w:color="auto"/>
            </w:tcBorders>
          </w:tcPr>
          <w:p w:rsidR="00A75F2B" w:rsidRPr="00A75F2B" w:rsidRDefault="00A75F2B" w:rsidP="00A75F2B">
            <w:pPr>
              <w:spacing w:after="120"/>
            </w:pPr>
            <w:bookmarkStart w:id="9" w:name="dtitle1" w:colFirst="1" w:colLast="1"/>
            <w:bookmarkEnd w:id="8"/>
            <w:r w:rsidRPr="00A75F2B">
              <w:rPr>
                <w:b/>
                <w:bCs/>
              </w:rPr>
              <w:t>Title:</w:t>
            </w:r>
          </w:p>
        </w:tc>
        <w:tc>
          <w:tcPr>
            <w:tcW w:w="8306" w:type="dxa"/>
            <w:gridSpan w:val="2"/>
            <w:tcBorders>
              <w:bottom w:val="single" w:sz="12" w:space="0" w:color="auto"/>
            </w:tcBorders>
          </w:tcPr>
          <w:p w:rsidR="00A75F2B" w:rsidRPr="00A75F2B" w:rsidRDefault="00A75F2B" w:rsidP="00BE17B6">
            <w:pPr>
              <w:spacing w:after="120"/>
            </w:pPr>
            <w:r>
              <w:t>Draft</w:t>
            </w:r>
            <w:r w:rsidRPr="00A75F2B">
              <w:t xml:space="preserve"> Recommendation </w:t>
            </w:r>
            <w:r>
              <w:t xml:space="preserve">ITU-T </w:t>
            </w:r>
            <w:r w:rsidRPr="00A75F2B">
              <w:t>G.8272.1/Y.1367.1 (for Consent, 30 September 2016)</w:t>
            </w:r>
          </w:p>
        </w:tc>
      </w:tr>
      <w:bookmarkEnd w:id="1"/>
      <w:bookmarkEnd w:id="9"/>
    </w:tbl>
    <w:p w:rsidR="00AD6A4D" w:rsidRDefault="00AD6A4D" w:rsidP="00AD6A4D"/>
    <w:p w:rsidR="00756E70" w:rsidRPr="00982DFC" w:rsidRDefault="00756E70" w:rsidP="00756E70">
      <w:pPr>
        <w:rPr>
          <w:b/>
        </w:rPr>
      </w:pPr>
      <w:r w:rsidRPr="00982DFC">
        <w:rPr>
          <w:b/>
        </w:rPr>
        <w:t>Abstract</w:t>
      </w:r>
    </w:p>
    <w:p w:rsidR="00285862" w:rsidRDefault="00756E70">
      <w:r>
        <w:t>This version of the Recommendation contains the latest draft of the ITU-T draft Recommendatio</w:t>
      </w:r>
      <w:r w:rsidR="003B136D">
        <w:t xml:space="preserve">n </w:t>
      </w:r>
      <w:r w:rsidR="0098469F">
        <w:t>G.8272</w:t>
      </w:r>
      <w:r w:rsidR="00E9305E">
        <w:t>.1</w:t>
      </w:r>
      <w:r w:rsidR="0098469F">
        <w:t>/Y.1367</w:t>
      </w:r>
      <w:r w:rsidR="00E9305E">
        <w:t>.1</w:t>
      </w:r>
      <w:r w:rsidR="00C371EE">
        <w:t>. It contains the agreements reached at</w:t>
      </w:r>
      <w:r w:rsidR="00714A78">
        <w:t xml:space="preserve"> the last meeting held</w:t>
      </w:r>
      <w:r w:rsidR="00664705">
        <w:t xml:space="preserve"> </w:t>
      </w:r>
      <w:r w:rsidR="007A143A">
        <w:t>in</w:t>
      </w:r>
      <w:r w:rsidR="00E67E6B">
        <w:t xml:space="preserve"> </w:t>
      </w:r>
      <w:r w:rsidR="00BE1A71" w:rsidRPr="00A75F2B">
        <w:t>Geneva, 19-30 September 2016</w:t>
      </w:r>
      <w:r w:rsidR="007A143A">
        <w:t>.</w:t>
      </w:r>
    </w:p>
    <w:p w:rsidR="00E2653F" w:rsidRPr="00E2653F" w:rsidRDefault="00E2653F" w:rsidP="00E2653F">
      <w:pPr>
        <w:rPr>
          <w:lang w:val="en-US"/>
        </w:rPr>
      </w:pPr>
      <w:r w:rsidRPr="00E2653F">
        <w:rPr>
          <w:lang w:val="en-US"/>
        </w:rPr>
        <w:t xml:space="preserve">This TD presents </w:t>
      </w:r>
      <w:r w:rsidR="00E241DC">
        <w:rPr>
          <w:lang w:val="en-US"/>
        </w:rPr>
        <w:t xml:space="preserve">the latest </w:t>
      </w:r>
      <w:r w:rsidRPr="00E2653F">
        <w:rPr>
          <w:lang w:eastAsia="zh-CN"/>
        </w:rPr>
        <w:t xml:space="preserve">draft revised Recommendation </w:t>
      </w:r>
      <w:r w:rsidRPr="00E2653F">
        <w:t>G.8272.1/Y.1367</w:t>
      </w:r>
      <w:r>
        <w:t xml:space="preserve"> </w:t>
      </w:r>
      <w:r w:rsidRPr="00E2653F">
        <w:t>(for Consent, 30 September 2016)</w:t>
      </w:r>
      <w:r w:rsidRPr="00E2653F">
        <w:rPr>
          <w:lang w:val="en-US"/>
        </w:rPr>
        <w:t xml:space="preserve">. </w:t>
      </w:r>
    </w:p>
    <w:p w:rsidR="00153335" w:rsidRPr="00E2653F" w:rsidRDefault="00153335" w:rsidP="0098469F">
      <w:pPr>
        <w:rPr>
          <w:sz w:val="22"/>
          <w:lang w:val="en-US"/>
        </w:rPr>
      </w:pPr>
    </w:p>
    <w:p w:rsidR="00153335" w:rsidRDefault="00153335" w:rsidP="0098469F"/>
    <w:p w:rsidR="00756E70" w:rsidRDefault="00756E70" w:rsidP="00AD6A4D"/>
    <w:p w:rsidR="000C1945" w:rsidRPr="00E241DC" w:rsidRDefault="0098469F">
      <w:pPr>
        <w:pStyle w:val="RecNo"/>
        <w:pageBreakBefore/>
        <w:rPr>
          <w:lang w:val="fr-CH"/>
        </w:rPr>
      </w:pPr>
      <w:r w:rsidRPr="00E241DC">
        <w:rPr>
          <w:lang w:val="fr-CH"/>
        </w:rPr>
        <w:lastRenderedPageBreak/>
        <w:t>Recommendation ITU-T G.8272</w:t>
      </w:r>
      <w:r w:rsidR="00754580" w:rsidRPr="00E241DC">
        <w:rPr>
          <w:lang w:val="fr-CH"/>
        </w:rPr>
        <w:t>.1</w:t>
      </w:r>
      <w:r w:rsidRPr="00E241DC">
        <w:rPr>
          <w:lang w:val="fr-CH"/>
        </w:rPr>
        <w:t>/Y.1367</w:t>
      </w:r>
      <w:r w:rsidR="00754580" w:rsidRPr="00E241DC">
        <w:rPr>
          <w:lang w:val="fr-CH"/>
        </w:rPr>
        <w:t>.1</w:t>
      </w:r>
    </w:p>
    <w:p w:rsidR="0098469F" w:rsidRPr="004D4A7E" w:rsidRDefault="0098469F" w:rsidP="0098469F">
      <w:pPr>
        <w:pStyle w:val="Rectitle"/>
      </w:pPr>
      <w:r w:rsidRPr="004D4A7E">
        <w:t xml:space="preserve">Timing characteristics of </w:t>
      </w:r>
      <w:r w:rsidR="00754580">
        <w:t xml:space="preserve">enhanced </w:t>
      </w:r>
      <w:r w:rsidRPr="004D4A7E">
        <w:t>primary reference time clocks</w:t>
      </w:r>
    </w:p>
    <w:p w:rsidR="004A106E" w:rsidRDefault="004A106E" w:rsidP="004A106E">
      <w:pPr>
        <w:pStyle w:val="Headingb"/>
      </w:pPr>
      <w:r>
        <w:t>Summary</w:t>
      </w:r>
    </w:p>
    <w:p w:rsidR="0098469F" w:rsidRPr="004D4A7E" w:rsidRDefault="0098469F" w:rsidP="0098469F">
      <w:r w:rsidRPr="004D4A7E">
        <w:t>Recommendation ITU-T G.8272</w:t>
      </w:r>
      <w:r w:rsidR="00754580">
        <w:t>.1</w:t>
      </w:r>
      <w:r w:rsidRPr="004D4A7E">
        <w:t>/Y.1367</w:t>
      </w:r>
      <w:r w:rsidR="00754580">
        <w:t>.1</w:t>
      </w:r>
      <w:r w:rsidRPr="004D4A7E">
        <w:t xml:space="preserve"> specifies the requirements for </w:t>
      </w:r>
      <w:r w:rsidR="00754580">
        <w:t xml:space="preserve">enhanced </w:t>
      </w:r>
      <w:r w:rsidRPr="004D4A7E">
        <w:t>primary reference time clocks (</w:t>
      </w:r>
      <w:r w:rsidR="00754580">
        <w:t>e</w:t>
      </w:r>
      <w:r w:rsidRPr="004D4A7E">
        <w:t xml:space="preserve">PRTCs) suitable for time and phase synchronization in packet networks. It defines the error allowed at the time output of the </w:t>
      </w:r>
      <w:r w:rsidR="00754580">
        <w:t>e</w:t>
      </w:r>
      <w:r w:rsidRPr="004D4A7E">
        <w:t>PRTC.</w:t>
      </w:r>
    </w:p>
    <w:p w:rsidR="0098469F" w:rsidRDefault="0098469F" w:rsidP="0098469F">
      <w:r w:rsidRPr="004D4A7E">
        <w:t>These requirements apply under the normal environmental conditions specified for the equipment</w:t>
      </w:r>
      <w:r w:rsidR="00163BF7">
        <w:t>.</w:t>
      </w:r>
    </w:p>
    <w:p w:rsidR="0012471E" w:rsidRDefault="00EB64E4" w:rsidP="0012471E">
      <w:pPr>
        <w:pStyle w:val="Heading1"/>
      </w:pPr>
      <w:r w:rsidRPr="00C2373F">
        <w:t>Keywords</w:t>
      </w:r>
    </w:p>
    <w:p w:rsidR="00EB64E4" w:rsidRPr="00C2373F" w:rsidRDefault="00EB64E4" w:rsidP="00EB64E4">
      <w:r>
        <w:t xml:space="preserve"> </w:t>
      </w:r>
      <w:r w:rsidR="00E67DA5">
        <w:t>T</w:t>
      </w:r>
      <w:r w:rsidRPr="00C2373F">
        <w:t>ime</w:t>
      </w:r>
      <w:r w:rsidR="00E67DA5">
        <w:t xml:space="preserve"> </w:t>
      </w:r>
      <w:r w:rsidR="00E67DA5" w:rsidRPr="00C2373F">
        <w:t>synchronization</w:t>
      </w:r>
      <w:r>
        <w:t xml:space="preserve">, </w:t>
      </w:r>
      <w:r w:rsidR="00E67DA5">
        <w:t xml:space="preserve">phase </w:t>
      </w:r>
      <w:r w:rsidR="00E67DA5" w:rsidRPr="00C2373F">
        <w:t>synchronization</w:t>
      </w:r>
      <w:r w:rsidR="00E67DA5">
        <w:t xml:space="preserve">, </w:t>
      </w:r>
      <w:r>
        <w:t>frequency</w:t>
      </w:r>
      <w:r w:rsidRPr="00C2373F">
        <w:t xml:space="preserve"> synchronization</w:t>
      </w:r>
      <w:r>
        <w:t>, primary reference clock</w:t>
      </w:r>
    </w:p>
    <w:p w:rsidR="0098469F" w:rsidRDefault="0098469F" w:rsidP="0098469F">
      <w:pPr>
        <w:pStyle w:val="Heading1"/>
      </w:pPr>
      <w:r w:rsidRPr="00CA4ECE">
        <w:t>Scope</w:t>
      </w:r>
    </w:p>
    <w:p w:rsidR="007A2B21" w:rsidRDefault="00A95CE6" w:rsidP="00972063">
      <w:r>
        <w:t>This Recommendation specifies the requirements for enhanced Primary Reference Time Clocks (</w:t>
      </w:r>
      <w:r w:rsidR="004C2EE2">
        <w:t>e</w:t>
      </w:r>
      <w:r>
        <w:t>PRTCs) suitable for time</w:t>
      </w:r>
      <w:r w:rsidR="00BE1A71">
        <w:t xml:space="preserve">, </w:t>
      </w:r>
      <w:r>
        <w:t>phase</w:t>
      </w:r>
      <w:r w:rsidR="00BE1A71">
        <w:t>, and frequency</w:t>
      </w:r>
      <w:r>
        <w:t xml:space="preserve"> synchronization in packet networks. These requirements apply under the normal environmental conditions specified for the equipment.  </w:t>
      </w:r>
    </w:p>
    <w:p w:rsidR="00A95CE6" w:rsidRDefault="00A95CE6" w:rsidP="00A95CE6">
      <w:r>
        <w:t xml:space="preserve">The enhanced PRTC provides a reference time signal traceable to a recognized time standard (e.g. UTC) and also a frequency reference. </w:t>
      </w:r>
      <w:r w:rsidR="00FF4298" w:rsidRPr="008E3614">
        <w:t>Compared to the PRTC</w:t>
      </w:r>
      <w:r w:rsidR="00E17F3C">
        <w:t xml:space="preserve"> as</w:t>
      </w:r>
      <w:r w:rsidR="00FF4298" w:rsidRPr="008E3614">
        <w:t xml:space="preserve"> defined in </w:t>
      </w:r>
      <w:r w:rsidR="00FF4298">
        <w:rPr>
          <w:sz w:val="23"/>
          <w:szCs w:val="23"/>
        </w:rPr>
        <w:t xml:space="preserve">[ITU-T </w:t>
      </w:r>
      <w:r w:rsidR="00FF4298" w:rsidRPr="008E3614">
        <w:t>G.8272</w:t>
      </w:r>
      <w:r w:rsidR="00FF4298">
        <w:t>]</w:t>
      </w:r>
      <w:r w:rsidR="00FF4298" w:rsidRPr="008E3614">
        <w:t>, the ePRTC is subject to more stringent output performance requirements and includes a frequency input directly from a</w:t>
      </w:r>
      <w:r w:rsidR="00163BF7">
        <w:t>n</w:t>
      </w:r>
      <w:r w:rsidR="00FF4298" w:rsidRPr="008E3614">
        <w:t xml:space="preserve"> autonomous primary reference clock</w:t>
      </w:r>
      <w:r w:rsidR="00CB3E11">
        <w:t xml:space="preserve">. The performance of the </w:t>
      </w:r>
      <w:r w:rsidR="00CB3E11" w:rsidRPr="008E3614">
        <w:t>autonomous primary reference clock</w:t>
      </w:r>
      <w:r w:rsidR="00CB3E11">
        <w:t xml:space="preserve"> for this particular application is</w:t>
      </w:r>
      <w:r w:rsidR="00F34E64" w:rsidRPr="00F34E64">
        <w:t xml:space="preserve"> </w:t>
      </w:r>
      <w:r w:rsidR="00F34E64">
        <w:t xml:space="preserve">specified in </w:t>
      </w:r>
      <w:r w:rsidR="00BE1A71">
        <w:t>Annex A</w:t>
      </w:r>
      <w:r w:rsidR="00F34E64">
        <w:t xml:space="preserve"> of this recommendation</w:t>
      </w:r>
      <w:r w:rsidR="00CB3E11">
        <w:t>.</w:t>
      </w:r>
    </w:p>
    <w:p w:rsidR="00FF4298" w:rsidRPr="001647A0" w:rsidRDefault="00A95CE6" w:rsidP="00FF4298">
      <w:r>
        <w:t xml:space="preserve">An enhanced PRTC provides the reference signal for </w:t>
      </w:r>
      <w:r w:rsidR="00BE1A71">
        <w:rPr>
          <w:szCs w:val="24"/>
        </w:rPr>
        <w:t xml:space="preserve">time, phase, and frequency </w:t>
      </w:r>
      <w:r w:rsidRPr="00AD4FB4">
        <w:t xml:space="preserve">synchronization </w:t>
      </w:r>
      <w:r>
        <w:t>for clocks within a network or section of a network</w:t>
      </w:r>
      <w:r w:rsidR="00FF4298" w:rsidRPr="001647A0">
        <w:t>. In particular, the ePRTC can also provide the reference signal to the telecom grand master (T-GM) within the network node where the ePRTC is located.</w:t>
      </w:r>
    </w:p>
    <w:p w:rsidR="0098469F" w:rsidRDefault="00A95CE6" w:rsidP="0098469F">
      <w:r>
        <w:t xml:space="preserve">This Recommendation defines the </w:t>
      </w:r>
      <w:r w:rsidR="00FF4298">
        <w:t>e</w:t>
      </w:r>
      <w:r>
        <w:t xml:space="preserve">PRTC output requirements. </w:t>
      </w:r>
      <w:r w:rsidR="00FF4298" w:rsidRPr="001647A0">
        <w:t>The requirements for the ePRTC integrated with a telecom grand master (T-GM) clock are for further study</w:t>
      </w:r>
      <w:r w:rsidR="00163BF7">
        <w:t>.</w:t>
      </w:r>
    </w:p>
    <w:p w:rsidR="0098469F" w:rsidRPr="00CA4ECE" w:rsidRDefault="0098469F" w:rsidP="0098469F">
      <w:pPr>
        <w:pStyle w:val="Heading1"/>
      </w:pPr>
      <w:bookmarkStart w:id="10" w:name="_Toc341944217"/>
      <w:bookmarkStart w:id="11" w:name="_Toc350520274"/>
      <w:bookmarkStart w:id="12" w:name="_Toc350841662"/>
      <w:bookmarkStart w:id="13" w:name="_Toc353445177"/>
      <w:r>
        <w:t>2</w:t>
      </w:r>
      <w:r>
        <w:tab/>
      </w:r>
      <w:r w:rsidRPr="00CA4ECE">
        <w:t>References</w:t>
      </w:r>
      <w:bookmarkEnd w:id="10"/>
      <w:bookmarkEnd w:id="11"/>
      <w:bookmarkEnd w:id="12"/>
      <w:bookmarkEnd w:id="13"/>
    </w:p>
    <w:p w:rsidR="0098469F" w:rsidRPr="00E943DF" w:rsidRDefault="0098469F" w:rsidP="0098469F">
      <w:r>
        <w:t>The following ITU-T Recommendations and other references contain provisions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 The reference to a document within this Recommendation does not give it, as a stand-alone document, the status of a Recommendation.</w:t>
      </w:r>
    </w:p>
    <w:p w:rsidR="0098469F" w:rsidRDefault="0098469F" w:rsidP="0098469F">
      <w:pPr>
        <w:pStyle w:val="Reftext"/>
        <w:tabs>
          <w:tab w:val="clear" w:pos="794"/>
          <w:tab w:val="clear" w:pos="1191"/>
          <w:tab w:val="clear" w:pos="1588"/>
          <w:tab w:val="clear" w:pos="1985"/>
          <w:tab w:val="left" w:pos="1843"/>
        </w:tabs>
        <w:ind w:left="1843" w:hanging="1843"/>
      </w:pPr>
      <w:r w:rsidRPr="00CA4ECE">
        <w:t>[ITU-T G.703]</w:t>
      </w:r>
      <w:r w:rsidRPr="00CA4ECE">
        <w:tab/>
        <w:t>Recommendation ITU-T G.703 (</w:t>
      </w:r>
      <w:r w:rsidR="001B589E" w:rsidRPr="00CA4ECE">
        <w:t>20</w:t>
      </w:r>
      <w:r w:rsidR="001B589E">
        <w:t>16</w:t>
      </w:r>
      <w:r w:rsidRPr="00CA4ECE">
        <w:t xml:space="preserve">), </w:t>
      </w:r>
      <w:r w:rsidRPr="00DD47BD">
        <w:rPr>
          <w:i/>
          <w:iCs/>
        </w:rPr>
        <w:t>Physical/electrical characteristics of hierarchical digital interfaces</w:t>
      </w:r>
      <w:r w:rsidRPr="00CA4ECE">
        <w:t>.</w:t>
      </w:r>
    </w:p>
    <w:p w:rsidR="0098469F" w:rsidRPr="00CA4ECE" w:rsidRDefault="0098469F" w:rsidP="0098469F">
      <w:pPr>
        <w:pStyle w:val="Reftext"/>
        <w:tabs>
          <w:tab w:val="clear" w:pos="794"/>
          <w:tab w:val="clear" w:pos="1191"/>
          <w:tab w:val="clear" w:pos="1588"/>
          <w:tab w:val="clear" w:pos="1985"/>
          <w:tab w:val="left" w:pos="1843"/>
        </w:tabs>
        <w:ind w:left="1843" w:hanging="1843"/>
      </w:pPr>
      <w:r w:rsidRPr="00CA4ECE">
        <w:t>[ITU-T G.810]</w:t>
      </w:r>
      <w:r w:rsidRPr="00CA4ECE">
        <w:tab/>
        <w:t xml:space="preserve">Recommendation ITU-T G.810 (1996), </w:t>
      </w:r>
      <w:r w:rsidRPr="00DD47BD">
        <w:rPr>
          <w:i/>
          <w:iCs/>
        </w:rPr>
        <w:t>Definitions and terminology for synchronization networks</w:t>
      </w:r>
      <w:r w:rsidRPr="00CA4ECE">
        <w:t>.</w:t>
      </w:r>
    </w:p>
    <w:p w:rsidR="0098469F" w:rsidRPr="00CA4ECE" w:rsidRDefault="0098469F" w:rsidP="0098469F">
      <w:pPr>
        <w:pStyle w:val="Reftext"/>
        <w:tabs>
          <w:tab w:val="clear" w:pos="794"/>
          <w:tab w:val="clear" w:pos="1191"/>
          <w:tab w:val="clear" w:pos="1588"/>
          <w:tab w:val="clear" w:pos="1985"/>
          <w:tab w:val="left" w:pos="1843"/>
        </w:tabs>
        <w:ind w:left="1843" w:hanging="1843"/>
      </w:pPr>
      <w:r w:rsidRPr="00CA4ECE">
        <w:t>[ITU-T G.811]</w:t>
      </w:r>
      <w:r w:rsidRPr="00CA4ECE">
        <w:tab/>
        <w:t xml:space="preserve">Recommendation ITU-T G.811 (1997), </w:t>
      </w:r>
      <w:r w:rsidRPr="00DD47BD">
        <w:rPr>
          <w:i/>
          <w:iCs/>
        </w:rPr>
        <w:t>Timing characteristics of primary reference clocks</w:t>
      </w:r>
      <w:r w:rsidRPr="00CA4ECE">
        <w:t>.</w:t>
      </w:r>
    </w:p>
    <w:p w:rsidR="0098469F" w:rsidRPr="00CA4ECE" w:rsidRDefault="0098469F" w:rsidP="0098469F">
      <w:pPr>
        <w:pStyle w:val="Reftext"/>
        <w:tabs>
          <w:tab w:val="clear" w:pos="794"/>
          <w:tab w:val="clear" w:pos="1191"/>
          <w:tab w:val="clear" w:pos="1588"/>
          <w:tab w:val="clear" w:pos="1985"/>
          <w:tab w:val="left" w:pos="1843"/>
        </w:tabs>
        <w:ind w:left="1843" w:hanging="1843"/>
      </w:pPr>
      <w:r w:rsidRPr="00CA4ECE">
        <w:t>[ITU-T G.8260]</w:t>
      </w:r>
      <w:r w:rsidRPr="00CA4ECE">
        <w:tab/>
        <w:t>Recommendation ITU-T G.8260 (</w:t>
      </w:r>
      <w:r w:rsidR="001B589E" w:rsidRPr="00CA4ECE">
        <w:t>201</w:t>
      </w:r>
      <w:r w:rsidR="001B589E">
        <w:t>5</w:t>
      </w:r>
      <w:r w:rsidRPr="00CA4ECE">
        <w:t xml:space="preserve">), </w:t>
      </w:r>
      <w:r w:rsidRPr="00DD47BD">
        <w:rPr>
          <w:i/>
          <w:iCs/>
        </w:rPr>
        <w:t>Definitions and terminology for synchronization in packet networks</w:t>
      </w:r>
      <w:r w:rsidRPr="00CA4ECE">
        <w:t>.</w:t>
      </w:r>
      <w:r w:rsidRPr="00CA4ECE" w:rsidDel="000F5417">
        <w:t xml:space="preserve"> </w:t>
      </w:r>
    </w:p>
    <w:p w:rsidR="00685D46" w:rsidRDefault="0098469F" w:rsidP="00685D46">
      <w:pPr>
        <w:pStyle w:val="Reftext"/>
        <w:tabs>
          <w:tab w:val="clear" w:pos="794"/>
          <w:tab w:val="clear" w:pos="1191"/>
          <w:tab w:val="clear" w:pos="1588"/>
          <w:tab w:val="clear" w:pos="1985"/>
          <w:tab w:val="left" w:pos="1843"/>
        </w:tabs>
        <w:ind w:left="1843" w:hanging="1843"/>
      </w:pPr>
      <w:r w:rsidRPr="00CA4ECE">
        <w:t>[ITU-T G.8271]</w:t>
      </w:r>
      <w:r w:rsidRPr="00CA4ECE">
        <w:tab/>
        <w:t>Recommendation ITU-T G.8271</w:t>
      </w:r>
      <w:r>
        <w:t>/Y.1366</w:t>
      </w:r>
      <w:r w:rsidRPr="00CA4ECE">
        <w:t xml:space="preserve"> (</w:t>
      </w:r>
      <w:r w:rsidR="00541C87" w:rsidRPr="00CA4ECE">
        <w:t>201</w:t>
      </w:r>
      <w:r w:rsidR="00541C87">
        <w:t>6</w:t>
      </w:r>
      <w:r w:rsidRPr="00CA4ECE">
        <w:t xml:space="preserve">), </w:t>
      </w:r>
      <w:r w:rsidRPr="00DD47BD">
        <w:rPr>
          <w:i/>
          <w:iCs/>
        </w:rPr>
        <w:t>Time and phase synchronization aspects of packet networks</w:t>
      </w:r>
      <w:r w:rsidRPr="00CA4ECE">
        <w:t xml:space="preserve">. </w:t>
      </w:r>
    </w:p>
    <w:p w:rsidR="00685D46" w:rsidRDefault="0098469F" w:rsidP="00685D46">
      <w:pPr>
        <w:pStyle w:val="Reftext"/>
        <w:tabs>
          <w:tab w:val="clear" w:pos="794"/>
          <w:tab w:val="clear" w:pos="1191"/>
          <w:tab w:val="clear" w:pos="1588"/>
          <w:tab w:val="clear" w:pos="1985"/>
          <w:tab w:val="left" w:pos="1843"/>
        </w:tabs>
        <w:ind w:left="1843" w:hanging="1843"/>
      </w:pPr>
      <w:r w:rsidRPr="00464B7D">
        <w:t xml:space="preserve">[ITU-T G.8273] </w:t>
      </w:r>
      <w:r w:rsidR="00685D46">
        <w:tab/>
      </w:r>
      <w:r w:rsidRPr="00464B7D">
        <w:t xml:space="preserve">Recommendation ITU-T G.8273/Y.1368 (2013), </w:t>
      </w:r>
      <w:r w:rsidRPr="00CE6053">
        <w:rPr>
          <w:i/>
          <w:iCs/>
        </w:rPr>
        <w:t>Framework of phase and time clocks</w:t>
      </w:r>
      <w:r w:rsidRPr="00464B7D">
        <w:t>.</w:t>
      </w:r>
    </w:p>
    <w:p w:rsidR="00F1181C" w:rsidRPr="00685D46" w:rsidRDefault="00F1181C" w:rsidP="00685D46">
      <w:pPr>
        <w:pStyle w:val="Reftext"/>
        <w:tabs>
          <w:tab w:val="clear" w:pos="794"/>
          <w:tab w:val="clear" w:pos="1191"/>
          <w:tab w:val="clear" w:pos="1588"/>
          <w:tab w:val="clear" w:pos="1985"/>
          <w:tab w:val="left" w:pos="1843"/>
        </w:tabs>
        <w:ind w:left="1843" w:hanging="1843"/>
      </w:pPr>
      <w:r w:rsidRPr="00464B7D">
        <w:t>[ITU-T G.827</w:t>
      </w:r>
      <w:r>
        <w:t>2</w:t>
      </w:r>
      <w:r w:rsidRPr="00464B7D">
        <w:t xml:space="preserve">] </w:t>
      </w:r>
      <w:r>
        <w:tab/>
        <w:t>Recommendation ITU-T G.8272/Y.1367 (2015</w:t>
      </w:r>
      <w:r w:rsidRPr="00464B7D">
        <w:t>),</w:t>
      </w:r>
      <w:r>
        <w:t xml:space="preserve"> </w:t>
      </w:r>
      <w:r w:rsidR="0012471E" w:rsidRPr="0012471E">
        <w:rPr>
          <w:i/>
          <w:iCs/>
        </w:rPr>
        <w:t>Timing characteristics of primary reference time clocks</w:t>
      </w:r>
    </w:p>
    <w:p w:rsidR="0098469F" w:rsidRPr="00CA4ECE" w:rsidRDefault="0098469F" w:rsidP="0098469F">
      <w:pPr>
        <w:pStyle w:val="Heading1"/>
      </w:pPr>
      <w:bookmarkStart w:id="14" w:name="_Toc341944218"/>
      <w:bookmarkStart w:id="15" w:name="_Toc350520275"/>
      <w:bookmarkStart w:id="16" w:name="_Toc350841663"/>
      <w:bookmarkStart w:id="17" w:name="_Toc353445178"/>
      <w:r>
        <w:t>3</w:t>
      </w:r>
      <w:r>
        <w:tab/>
      </w:r>
      <w:r w:rsidRPr="00CA4ECE">
        <w:t>Definitions</w:t>
      </w:r>
      <w:bookmarkEnd w:id="14"/>
      <w:bookmarkEnd w:id="15"/>
      <w:bookmarkEnd w:id="16"/>
      <w:bookmarkEnd w:id="17"/>
    </w:p>
    <w:p w:rsidR="0098469F" w:rsidRPr="00CA4ECE" w:rsidRDefault="0098469F" w:rsidP="0098469F">
      <w:r w:rsidRPr="00CA4ECE">
        <w:t>Definitions related to synchronization are contained in [ITU-T G.810] and [ITU-T G.8260].</w:t>
      </w:r>
    </w:p>
    <w:p w:rsidR="0098469F" w:rsidRPr="00CA4ECE" w:rsidRDefault="0098469F" w:rsidP="0098469F">
      <w:pPr>
        <w:pStyle w:val="Heading1"/>
      </w:pPr>
      <w:bookmarkStart w:id="18" w:name="_Toc341944219"/>
      <w:bookmarkStart w:id="19" w:name="_Toc350520276"/>
      <w:bookmarkStart w:id="20" w:name="_Toc350841664"/>
      <w:bookmarkStart w:id="21" w:name="_Toc353445179"/>
      <w:r>
        <w:t>4</w:t>
      </w:r>
      <w:r>
        <w:tab/>
      </w:r>
      <w:r w:rsidRPr="00CA4ECE">
        <w:t>Abbreviations and acronyms</w:t>
      </w:r>
      <w:bookmarkEnd w:id="18"/>
      <w:bookmarkEnd w:id="19"/>
      <w:bookmarkEnd w:id="20"/>
      <w:bookmarkEnd w:id="21"/>
    </w:p>
    <w:p w:rsidR="0098469F" w:rsidRPr="00CA4ECE" w:rsidRDefault="0098469F" w:rsidP="0098469F">
      <w:r w:rsidRPr="00CA4ECE">
        <w:t>This Recommendation uses the following abbreviations and acronyms:</w:t>
      </w:r>
    </w:p>
    <w:p w:rsidR="00880F5F" w:rsidRDefault="00880F5F" w:rsidP="00880F5F">
      <w:pPr>
        <w:tabs>
          <w:tab w:val="clear" w:pos="794"/>
        </w:tabs>
      </w:pPr>
      <w:r>
        <w:t>e</w:t>
      </w:r>
      <w:r w:rsidRPr="00CA4ECE">
        <w:t>PRTC</w:t>
      </w:r>
      <w:r w:rsidRPr="00CA4ECE">
        <w:tab/>
      </w:r>
      <w:r>
        <w:t xml:space="preserve">Enhanced </w:t>
      </w:r>
      <w:r w:rsidRPr="00CA4ECE">
        <w:t>Primary Reference Time Clock</w:t>
      </w:r>
    </w:p>
    <w:p w:rsidR="0098469F" w:rsidRPr="00CA4ECE" w:rsidRDefault="0098469F" w:rsidP="0098469F">
      <w:pPr>
        <w:tabs>
          <w:tab w:val="clear" w:pos="794"/>
        </w:tabs>
      </w:pPr>
      <w:r w:rsidRPr="00CA4ECE">
        <w:t>GNSS</w:t>
      </w:r>
      <w:r w:rsidRPr="00CA4ECE">
        <w:tab/>
        <w:t>Global Navigation Satellite System</w:t>
      </w:r>
    </w:p>
    <w:p w:rsidR="0098469F" w:rsidRPr="00CA4ECE" w:rsidRDefault="0098469F" w:rsidP="0098469F">
      <w:pPr>
        <w:tabs>
          <w:tab w:val="clear" w:pos="794"/>
        </w:tabs>
      </w:pPr>
      <w:r w:rsidRPr="00CA4ECE">
        <w:t>MTIE</w:t>
      </w:r>
      <w:r w:rsidRPr="00CA4ECE">
        <w:tab/>
        <w:t>Maximum Time Interval Error</w:t>
      </w:r>
    </w:p>
    <w:p w:rsidR="0098469F" w:rsidRPr="00CA4ECE" w:rsidRDefault="0098469F" w:rsidP="0098469F">
      <w:pPr>
        <w:tabs>
          <w:tab w:val="clear" w:pos="794"/>
        </w:tabs>
      </w:pPr>
      <w:r w:rsidRPr="00CA4ECE">
        <w:t>PRC</w:t>
      </w:r>
      <w:r w:rsidRPr="00CA4ECE">
        <w:tab/>
        <w:t>Primary Reference Clock</w:t>
      </w:r>
    </w:p>
    <w:p w:rsidR="0098469F" w:rsidRDefault="0098469F" w:rsidP="0098469F">
      <w:pPr>
        <w:tabs>
          <w:tab w:val="clear" w:pos="794"/>
        </w:tabs>
      </w:pPr>
      <w:r w:rsidRPr="00CA4ECE">
        <w:t>PRTC</w:t>
      </w:r>
      <w:r w:rsidRPr="00CA4ECE">
        <w:tab/>
        <w:t>Primary Reference Time Clock</w:t>
      </w:r>
    </w:p>
    <w:p w:rsidR="00965C1E" w:rsidRPr="0039599C" w:rsidRDefault="00965C1E" w:rsidP="00965C1E">
      <w:pPr>
        <w:tabs>
          <w:tab w:val="clear" w:pos="794"/>
        </w:tabs>
        <w:rPr>
          <w:lang w:val="en-US"/>
        </w:rPr>
      </w:pPr>
      <w:r w:rsidRPr="00524B62">
        <w:rPr>
          <w:lang w:val="en-US"/>
        </w:rPr>
        <w:t>PPS</w:t>
      </w:r>
      <w:r w:rsidRPr="0039599C">
        <w:rPr>
          <w:lang w:val="en-US"/>
        </w:rPr>
        <w:tab/>
        <w:t>Pulse Per Second</w:t>
      </w:r>
    </w:p>
    <w:p w:rsidR="0098469F" w:rsidRDefault="0098469F" w:rsidP="0098469F">
      <w:pPr>
        <w:tabs>
          <w:tab w:val="clear" w:pos="794"/>
          <w:tab w:val="left" w:pos="851"/>
        </w:tabs>
        <w:rPr>
          <w:lang w:val="en-US"/>
        </w:rPr>
      </w:pPr>
      <w:r>
        <w:rPr>
          <w:lang w:val="en-US"/>
        </w:rPr>
        <w:t>PTP</w:t>
      </w:r>
      <w:r>
        <w:rPr>
          <w:lang w:val="en-US"/>
        </w:rPr>
        <w:tab/>
      </w:r>
      <w:r w:rsidR="00541C87">
        <w:rPr>
          <w:lang w:val="en-US"/>
        </w:rPr>
        <w:tab/>
      </w:r>
      <w:r>
        <w:rPr>
          <w:lang w:val="en-US"/>
        </w:rPr>
        <w:t>Precision Time Protocol</w:t>
      </w:r>
    </w:p>
    <w:p w:rsidR="0098469F" w:rsidRDefault="0098469F" w:rsidP="0098469F">
      <w:pPr>
        <w:tabs>
          <w:tab w:val="clear" w:pos="794"/>
        </w:tabs>
      </w:pPr>
      <w:r w:rsidRPr="00CA4ECE">
        <w:t>SSU</w:t>
      </w:r>
      <w:r w:rsidRPr="00CA4ECE">
        <w:tab/>
        <w:t>Synchronization Supply Unit</w:t>
      </w:r>
    </w:p>
    <w:p w:rsidR="0098469F" w:rsidRDefault="0098469F" w:rsidP="0098469F">
      <w:pPr>
        <w:tabs>
          <w:tab w:val="clear" w:pos="794"/>
          <w:tab w:val="left" w:pos="851"/>
        </w:tabs>
        <w:rPr>
          <w:lang w:val="en-US"/>
        </w:rPr>
      </w:pPr>
      <w:r>
        <w:rPr>
          <w:lang w:val="en-US"/>
        </w:rPr>
        <w:t>T-GM</w:t>
      </w:r>
      <w:r>
        <w:rPr>
          <w:lang w:val="en-US"/>
        </w:rPr>
        <w:tab/>
      </w:r>
      <w:r w:rsidR="00541C87">
        <w:rPr>
          <w:lang w:val="en-US"/>
        </w:rPr>
        <w:tab/>
      </w:r>
      <w:r>
        <w:rPr>
          <w:lang w:val="en-US"/>
        </w:rPr>
        <w:t>Telecom Grand Master</w:t>
      </w:r>
    </w:p>
    <w:p w:rsidR="0098469F" w:rsidRPr="00CA4ECE" w:rsidRDefault="0098469F" w:rsidP="0098469F">
      <w:pPr>
        <w:tabs>
          <w:tab w:val="clear" w:pos="794"/>
        </w:tabs>
      </w:pPr>
      <w:r w:rsidRPr="00CA4ECE">
        <w:t>TDEV</w:t>
      </w:r>
      <w:r w:rsidRPr="00CA4ECE">
        <w:tab/>
        <w:t>Time Deviation</w:t>
      </w:r>
    </w:p>
    <w:p w:rsidR="0098469F" w:rsidRPr="00CA4ECE" w:rsidRDefault="0098469F" w:rsidP="0098469F">
      <w:pPr>
        <w:tabs>
          <w:tab w:val="clear" w:pos="794"/>
        </w:tabs>
      </w:pPr>
      <w:r w:rsidRPr="00CA4ECE">
        <w:t>UTC</w:t>
      </w:r>
      <w:r w:rsidRPr="00CA4ECE">
        <w:tab/>
        <w:t>Coordinated Universal Time</w:t>
      </w:r>
    </w:p>
    <w:p w:rsidR="0098469F" w:rsidRPr="00CA4ECE" w:rsidRDefault="0098469F" w:rsidP="0098469F">
      <w:pPr>
        <w:pStyle w:val="Heading1"/>
      </w:pPr>
      <w:bookmarkStart w:id="22" w:name="_Toc341944220"/>
      <w:bookmarkStart w:id="23" w:name="_Toc350520277"/>
      <w:bookmarkStart w:id="24" w:name="_Toc350841665"/>
      <w:bookmarkStart w:id="25" w:name="_Toc353445180"/>
      <w:r>
        <w:t>5</w:t>
      </w:r>
      <w:r>
        <w:tab/>
      </w:r>
      <w:r w:rsidRPr="00CA4ECE">
        <w:t>Conventions</w:t>
      </w:r>
      <w:bookmarkEnd w:id="22"/>
      <w:bookmarkEnd w:id="23"/>
      <w:bookmarkEnd w:id="24"/>
      <w:bookmarkEnd w:id="25"/>
    </w:p>
    <w:p w:rsidR="0098469F" w:rsidRPr="00CA4ECE" w:rsidRDefault="0098469F" w:rsidP="0098469F">
      <w:r>
        <w:t>None</w:t>
      </w:r>
      <w:r w:rsidRPr="00CA4ECE">
        <w:t>.</w:t>
      </w:r>
    </w:p>
    <w:p w:rsidR="0098469F" w:rsidRPr="00CA4ECE" w:rsidRDefault="0098469F" w:rsidP="0098469F">
      <w:pPr>
        <w:pStyle w:val="Heading1"/>
      </w:pPr>
      <w:bookmarkStart w:id="26" w:name="_Toc341944221"/>
      <w:bookmarkStart w:id="27" w:name="_Toc350520278"/>
      <w:bookmarkStart w:id="28" w:name="_Toc350841666"/>
      <w:bookmarkStart w:id="29" w:name="_Toc353445181"/>
      <w:r>
        <w:t>6</w:t>
      </w:r>
      <w:r>
        <w:tab/>
      </w:r>
      <w:r w:rsidRPr="00CA4ECE">
        <w:t>Time error, wander and jitter in locked mode</w:t>
      </w:r>
      <w:bookmarkEnd w:id="26"/>
      <w:bookmarkEnd w:id="27"/>
      <w:bookmarkEnd w:id="28"/>
      <w:bookmarkEnd w:id="29"/>
      <w:r w:rsidRPr="00CA4ECE" w:rsidDel="00EC6B68">
        <w:t xml:space="preserve"> </w:t>
      </w:r>
    </w:p>
    <w:p w:rsidR="0098469F" w:rsidRPr="00CA4ECE" w:rsidRDefault="0098469F" w:rsidP="0098469F">
      <w:r w:rsidRPr="00CA4ECE">
        <w:t>The noise generation of a</w:t>
      </w:r>
      <w:r w:rsidR="004C2EE2">
        <w:t>n</w:t>
      </w:r>
      <w:r w:rsidRPr="00CA4ECE">
        <w:t xml:space="preserve"> </w:t>
      </w:r>
      <w:r w:rsidR="004331F7">
        <w:t>e</w:t>
      </w:r>
      <w:r w:rsidRPr="00CA4ECE">
        <w:t>PRTC is characterized by two main aspects:</w:t>
      </w:r>
    </w:p>
    <w:p w:rsidR="0098469F" w:rsidRPr="00DD47BD" w:rsidRDefault="0098469F" w:rsidP="0098469F">
      <w:pPr>
        <w:pStyle w:val="enumlev1"/>
      </w:pPr>
      <w:r>
        <w:t>–</w:t>
      </w:r>
      <w:r>
        <w:tab/>
      </w:r>
      <w:r w:rsidRPr="00CA4ECE">
        <w:t>the constant time error (time offset) at its output compared to the applicable primary time standard (e.g.</w:t>
      </w:r>
      <w:r>
        <w:t>,</w:t>
      </w:r>
      <w:r w:rsidRPr="00CA4ECE">
        <w:t xml:space="preserve"> UTC)</w:t>
      </w:r>
      <w:r>
        <w:t>;</w:t>
      </w:r>
    </w:p>
    <w:p w:rsidR="0098469F" w:rsidRPr="00DD47BD" w:rsidRDefault="0098469F" w:rsidP="0098469F">
      <w:pPr>
        <w:pStyle w:val="enumlev1"/>
      </w:pPr>
      <w:r>
        <w:t>–</w:t>
      </w:r>
      <w:r>
        <w:tab/>
      </w:r>
      <w:r w:rsidRPr="00CA4ECE">
        <w:t>the amount of phase error (wander and jitter) produced at its output</w:t>
      </w:r>
      <w:r>
        <w:t>.</w:t>
      </w:r>
    </w:p>
    <w:p w:rsidR="0098469F" w:rsidRPr="00CA4ECE" w:rsidRDefault="0098469F" w:rsidP="0098469F">
      <w:r w:rsidRPr="00CA4ECE">
        <w:t xml:space="preserve">For characterization of the second aspect described above (phase error) the calculation of </w:t>
      </w:r>
      <w:r>
        <w:t>the m</w:t>
      </w:r>
      <w:r w:rsidRPr="00CA4ECE">
        <w:t xml:space="preserve">aximum </w:t>
      </w:r>
      <w:r>
        <w:t>t</w:t>
      </w:r>
      <w:r w:rsidRPr="00CA4ECE">
        <w:t xml:space="preserve">ime </w:t>
      </w:r>
      <w:r>
        <w:t>i</w:t>
      </w:r>
      <w:r w:rsidRPr="00CA4ECE">
        <w:t xml:space="preserve">nterval </w:t>
      </w:r>
      <w:r>
        <w:t>e</w:t>
      </w:r>
      <w:r w:rsidRPr="00CA4ECE">
        <w:t xml:space="preserve">rror </w:t>
      </w:r>
      <w:r>
        <w:t>(</w:t>
      </w:r>
      <w:r w:rsidRPr="00CA4ECE">
        <w:t>MTIE</w:t>
      </w:r>
      <w:r>
        <w:t>)</w:t>
      </w:r>
      <w:r w:rsidRPr="00CA4ECE">
        <w:t xml:space="preserve"> and </w:t>
      </w:r>
      <w:r>
        <w:t>the time deviation (</w:t>
      </w:r>
      <w:r w:rsidRPr="00CA4ECE">
        <w:t>TDEV</w:t>
      </w:r>
      <w:r>
        <w:t>)</w:t>
      </w:r>
      <w:r w:rsidRPr="00CA4ECE">
        <w:t xml:space="preserve"> is </w:t>
      </w:r>
      <w:r w:rsidR="00CA4B59" w:rsidRPr="00A2312D">
        <w:t>useful</w:t>
      </w:r>
      <w:r w:rsidRPr="00CA4ECE">
        <w:t xml:space="preserve">. </w:t>
      </w:r>
    </w:p>
    <w:p w:rsidR="0098469F" w:rsidRPr="00CA4ECE" w:rsidRDefault="0098469F" w:rsidP="0098469F">
      <w:r>
        <w:t xml:space="preserve">Clause </w:t>
      </w:r>
      <w:r w:rsidRPr="00CA4ECE">
        <w:t xml:space="preserve">6.1 defines the time error requirements applicable at the output of the </w:t>
      </w:r>
      <w:r w:rsidR="004331F7">
        <w:t>e</w:t>
      </w:r>
      <w:r w:rsidRPr="00CA4ECE">
        <w:t>PRTC, which correspond to the combination of the two aspects described above (constant time error and phase error). No requirement is defined for the constant time error component taken alone, only when it is combined with the phase error.</w:t>
      </w:r>
    </w:p>
    <w:p w:rsidR="0098469F" w:rsidRDefault="0098469F" w:rsidP="0098469F">
      <w:r>
        <w:t xml:space="preserve">Clauses </w:t>
      </w:r>
      <w:r w:rsidRPr="00CA4ECE">
        <w:t xml:space="preserve">6.2 and 6.3 define the wander and jitter requirements applicable at the output of the </w:t>
      </w:r>
      <w:r w:rsidR="004331F7">
        <w:t>e</w:t>
      </w:r>
      <w:r w:rsidRPr="00CA4ECE">
        <w:t>PRTC, which correspond to the second aspect described above (phase error).</w:t>
      </w:r>
    </w:p>
    <w:p w:rsidR="00942C5E" w:rsidRPr="00942C5E" w:rsidRDefault="0012471E" w:rsidP="00942C5E">
      <w:r w:rsidRPr="0012471E">
        <w:t>The performance of the output of the combined ePRTC and T-GM function is for further study.</w:t>
      </w:r>
    </w:p>
    <w:p w:rsidR="0098469F" w:rsidRDefault="0098469F" w:rsidP="0098469F">
      <w:pPr>
        <w:pStyle w:val="Heading2"/>
      </w:pPr>
      <w:bookmarkStart w:id="30" w:name="_Toc341944222"/>
      <w:bookmarkStart w:id="31" w:name="_Toc350520279"/>
      <w:bookmarkStart w:id="32" w:name="_Toc350841667"/>
      <w:bookmarkStart w:id="33" w:name="_Toc353445182"/>
      <w:r>
        <w:t>6.1</w:t>
      </w:r>
      <w:r>
        <w:tab/>
      </w:r>
      <w:r w:rsidRPr="00CA4ECE">
        <w:t>Time error in locked mode</w:t>
      </w:r>
      <w:bookmarkEnd w:id="30"/>
      <w:bookmarkEnd w:id="31"/>
      <w:bookmarkEnd w:id="32"/>
      <w:bookmarkEnd w:id="33"/>
    </w:p>
    <w:p w:rsidR="0098469F" w:rsidRPr="00334B88" w:rsidRDefault="0098469F" w:rsidP="0098469F">
      <w:r w:rsidRPr="00334B88">
        <w:t xml:space="preserve">Under normal, locked operating conditions, the time output of the </w:t>
      </w:r>
      <w:r w:rsidR="004331F7">
        <w:t>e</w:t>
      </w:r>
      <w:r w:rsidRPr="00334B88">
        <w:t xml:space="preserve">PRTC </w:t>
      </w:r>
      <w:r w:rsidR="004331F7">
        <w:t xml:space="preserve">should be accurate to within </w:t>
      </w:r>
      <w:r w:rsidR="0012471E" w:rsidRPr="0012471E">
        <w:t>30 ns or</w:t>
      </w:r>
      <w:r w:rsidRPr="00334B88">
        <w:t xml:space="preserve"> better when verified against the applicable primary time standard (e.g.</w:t>
      </w:r>
      <w:r>
        <w:t>,</w:t>
      </w:r>
      <w:r w:rsidRPr="00334B88">
        <w:t xml:space="preserve"> UTC). </w:t>
      </w:r>
      <w:r>
        <w:t xml:space="preserve">For the </w:t>
      </w:r>
      <w:r w:rsidR="004331F7">
        <w:t>e</w:t>
      </w:r>
      <w:r>
        <w:t>PRTC t</w:t>
      </w:r>
      <w:r w:rsidRPr="00334B88">
        <w:t>his value includes all the noise components, i.e.</w:t>
      </w:r>
      <w:r>
        <w:t>,</w:t>
      </w:r>
      <w:r w:rsidRPr="00334B88">
        <w:t xml:space="preserve"> the constant time error (time offset) and the </w:t>
      </w:r>
      <w:r w:rsidR="00CA4B59" w:rsidRPr="00A2312D">
        <w:t>phase</w:t>
      </w:r>
      <w:r w:rsidRPr="00334B88">
        <w:t xml:space="preserve"> error (wander and jitter) of the </w:t>
      </w:r>
      <w:r w:rsidR="00CC5EB3">
        <w:t>ePRTC</w:t>
      </w:r>
      <w:r>
        <w:t xml:space="preserve">. </w:t>
      </w:r>
      <w:r w:rsidR="00933A64" w:rsidRPr="00933A64">
        <w:t>The combined ePRTC and T-GM function is for further study</w:t>
      </w:r>
      <w:r w:rsidR="00933A64">
        <w:t>.</w:t>
      </w:r>
    </w:p>
    <w:p w:rsidR="0098469F" w:rsidRPr="00CA4ECE" w:rsidRDefault="0098469F" w:rsidP="0098469F">
      <w:r w:rsidRPr="00CA4ECE">
        <w:t>Normal, locked operating conditions mean that:</w:t>
      </w:r>
    </w:p>
    <w:p w:rsidR="0098469F" w:rsidRPr="00CA4ECE" w:rsidRDefault="0098469F" w:rsidP="0098469F">
      <w:pPr>
        <w:pStyle w:val="enumlev1"/>
      </w:pPr>
      <w:r>
        <w:t>–</w:t>
      </w:r>
      <w:r>
        <w:tab/>
      </w:r>
      <w:r w:rsidRPr="00CA4ECE">
        <w:t xml:space="preserve">The </w:t>
      </w:r>
      <w:r w:rsidR="004331F7">
        <w:t>e</w:t>
      </w:r>
      <w:r w:rsidRPr="00CA4ECE">
        <w:t>PRTC is fully locked to the incoming reference time signal, and is not operating in warm-up</w:t>
      </w:r>
      <w:r>
        <w:t>.</w:t>
      </w:r>
    </w:p>
    <w:p w:rsidR="0098469F" w:rsidRPr="00CA4ECE" w:rsidRDefault="0098469F" w:rsidP="0098469F">
      <w:pPr>
        <w:pStyle w:val="enumlev1"/>
      </w:pPr>
      <w:r>
        <w:t>–</w:t>
      </w:r>
      <w:r>
        <w:tab/>
      </w:r>
      <w:r w:rsidRPr="00CA4ECE">
        <w:t>There are no failures or facility errors in the reference path, including but not limited to antenna failures</w:t>
      </w:r>
      <w:r>
        <w:t>.</w:t>
      </w:r>
    </w:p>
    <w:p w:rsidR="0098469F" w:rsidRPr="00CA4ECE" w:rsidRDefault="0098469F" w:rsidP="0098469F">
      <w:pPr>
        <w:pStyle w:val="enumlev1"/>
      </w:pPr>
      <w:r>
        <w:t>–</w:t>
      </w:r>
      <w:r>
        <w:tab/>
      </w:r>
      <w:r w:rsidRPr="00CA4ECE">
        <w:t>The environmental conditions are within the operating limits specified for the equipment</w:t>
      </w:r>
      <w:r>
        <w:t>.</w:t>
      </w:r>
    </w:p>
    <w:p w:rsidR="0098469F" w:rsidRPr="00CA4ECE" w:rsidRDefault="0098469F" w:rsidP="0098469F">
      <w:pPr>
        <w:pStyle w:val="enumlev1"/>
      </w:pPr>
      <w:r>
        <w:t>–</w:t>
      </w:r>
      <w:r>
        <w:tab/>
      </w:r>
      <w:r w:rsidRPr="00CA4ECE">
        <w:t>The equipment is properly commissioned and calibrated for fixed offsets such as antenna cable length, cable amplifiers and receiver delays</w:t>
      </w:r>
      <w:r>
        <w:t>.</w:t>
      </w:r>
    </w:p>
    <w:p w:rsidR="0098469F" w:rsidRPr="00CA4ECE" w:rsidRDefault="0098469F" w:rsidP="0098469F">
      <w:pPr>
        <w:pStyle w:val="enumlev1"/>
      </w:pPr>
      <w:r>
        <w:t>–</w:t>
      </w:r>
      <w:r>
        <w:tab/>
      </w:r>
      <w:r w:rsidRPr="00CA4ECE">
        <w:t>The reference time signal (e.g.</w:t>
      </w:r>
      <w:r>
        <w:t>,</w:t>
      </w:r>
      <w:r w:rsidRPr="00CA4ECE">
        <w:t xml:space="preserve"> GNSS signal) is operating within limits, as determined by the relevant operating authorities</w:t>
      </w:r>
      <w:r>
        <w:t>.</w:t>
      </w:r>
    </w:p>
    <w:p w:rsidR="0098469F" w:rsidRPr="00CA4ECE" w:rsidRDefault="0098469F" w:rsidP="0098469F">
      <w:pPr>
        <w:pStyle w:val="enumlev1"/>
      </w:pPr>
      <w:r>
        <w:t>–</w:t>
      </w:r>
      <w:r>
        <w:tab/>
      </w:r>
      <w:r w:rsidRPr="00CA4ECE">
        <w:t xml:space="preserve">If the reference time signal is operated over a radio system such as </w:t>
      </w:r>
      <w:r>
        <w:t>a g</w:t>
      </w:r>
      <w:r w:rsidRPr="00CA4ECE">
        <w:t xml:space="preserve">lobal </w:t>
      </w:r>
      <w:r>
        <w:t>n</w:t>
      </w:r>
      <w:r w:rsidRPr="00CA4ECE">
        <w:t xml:space="preserve">avigation </w:t>
      </w:r>
      <w:r>
        <w:t>satellite s</w:t>
      </w:r>
      <w:r w:rsidRPr="00CA4ECE">
        <w:t xml:space="preserve">ystem </w:t>
      </w:r>
      <w:r>
        <w:t>(</w:t>
      </w:r>
      <w:r w:rsidRPr="00CA4ECE">
        <w:t>GNSS</w:t>
      </w:r>
      <w:r>
        <w:t>)</w:t>
      </w:r>
      <w:r w:rsidRPr="00CA4ECE">
        <w:t>, multipath reflections and interference from other local transmissions, such as jamming, must be minimized to an acceptable level</w:t>
      </w:r>
      <w:r>
        <w:t>.</w:t>
      </w:r>
    </w:p>
    <w:p w:rsidR="0098469F" w:rsidRPr="00CA4ECE" w:rsidRDefault="0098469F" w:rsidP="0098469F">
      <w:pPr>
        <w:pStyle w:val="enumlev1"/>
      </w:pPr>
      <w:r>
        <w:t>–</w:t>
      </w:r>
      <w:r>
        <w:tab/>
      </w:r>
      <w:r w:rsidRPr="00CA4ECE">
        <w:rPr>
          <w:rFonts w:cs="Calibri"/>
        </w:rPr>
        <w:t>There are no extreme propagation anomalies, such as severe thunderstorms</w:t>
      </w:r>
      <w:r>
        <w:rPr>
          <w:rFonts w:cs="Calibri"/>
        </w:rPr>
        <w:t>.</w:t>
      </w:r>
    </w:p>
    <w:p w:rsidR="0098469F" w:rsidRPr="00CA4ECE" w:rsidRDefault="0098469F" w:rsidP="0098469F">
      <w:pPr>
        <w:pStyle w:val="Heading2"/>
      </w:pPr>
      <w:bookmarkStart w:id="34" w:name="_Toc341944223"/>
      <w:bookmarkStart w:id="35" w:name="_Toc350520280"/>
      <w:bookmarkStart w:id="36" w:name="_Toc350841668"/>
      <w:bookmarkStart w:id="37" w:name="_Toc353445183"/>
      <w:r>
        <w:t>6.2</w:t>
      </w:r>
      <w:r>
        <w:tab/>
      </w:r>
      <w:r w:rsidRPr="00CA4ECE">
        <w:t>Wander in locked mode</w:t>
      </w:r>
      <w:bookmarkEnd w:id="34"/>
      <w:bookmarkEnd w:id="35"/>
      <w:bookmarkEnd w:id="36"/>
      <w:bookmarkEnd w:id="37"/>
    </w:p>
    <w:p w:rsidR="000F3247" w:rsidRDefault="00273BE6" w:rsidP="0098469F">
      <w:pPr>
        <w:keepNext/>
        <w:keepLines/>
      </w:pPr>
      <w:r w:rsidRPr="00A2312D">
        <w:t>The wander requirements apply to all the interfaces listed in clause 9.2.2.</w:t>
      </w:r>
    </w:p>
    <w:p w:rsidR="0098469F" w:rsidRPr="00CA4ECE" w:rsidRDefault="0098469F" w:rsidP="0098469F">
      <w:pPr>
        <w:keepNext/>
        <w:keepLines/>
      </w:pPr>
      <w:r w:rsidRPr="00CA4ECE">
        <w:t xml:space="preserve">When the </w:t>
      </w:r>
      <w:r w:rsidR="004331F7">
        <w:t>e</w:t>
      </w:r>
      <w:r w:rsidRPr="00CA4ECE">
        <w:t>PRTC is in the normal, locked mode of operation, the wander, expressed in MTIE, measured using a similar configuration as the synchronized clock configuration defined in Figure</w:t>
      </w:r>
      <w:r>
        <w:t> </w:t>
      </w:r>
      <w:r w:rsidRPr="00CA4ECE">
        <w:t>1a</w:t>
      </w:r>
      <w:r>
        <w:t xml:space="preserve"> of [ITU-T </w:t>
      </w:r>
      <w:r w:rsidRPr="00CA4ECE">
        <w:t>G.810</w:t>
      </w:r>
      <w:r>
        <w:t>]</w:t>
      </w:r>
      <w:r w:rsidRPr="00CA4ECE">
        <w:t xml:space="preserve"> (with the use of a </w:t>
      </w:r>
      <w:r>
        <w:t>t</w:t>
      </w:r>
      <w:r w:rsidRPr="00CA4ECE">
        <w:t xml:space="preserve">ime </w:t>
      </w:r>
      <w:r>
        <w:t>s</w:t>
      </w:r>
      <w:r w:rsidRPr="00CA4ECE">
        <w:t xml:space="preserve">tandard instead of a </w:t>
      </w:r>
      <w:r>
        <w:t>f</w:t>
      </w:r>
      <w:r w:rsidRPr="00CA4ECE">
        <w:t xml:space="preserve">requency </w:t>
      </w:r>
      <w:r>
        <w:t>s</w:t>
      </w:r>
      <w:r w:rsidRPr="00CA4ECE">
        <w:t>tandard), should have the following limits:</w:t>
      </w:r>
    </w:p>
    <w:p w:rsidR="0098469F" w:rsidRDefault="0098469F" w:rsidP="0098469F">
      <w:pPr>
        <w:pStyle w:val="TableNoTitle0"/>
      </w:pPr>
      <w:r w:rsidRPr="00CA4ECE">
        <w:t>Table 1 – Wander generation (MTIE)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6"/>
        <w:gridCol w:w="4703"/>
      </w:tblGrid>
      <w:tr w:rsidR="002D15AF" w:rsidRPr="00DC17F4" w:rsidTr="005C7F78">
        <w:trPr>
          <w:cantSplit/>
          <w:jc w:val="center"/>
        </w:trPr>
        <w:tc>
          <w:tcPr>
            <w:tcW w:w="4936" w:type="dxa"/>
            <w:shd w:val="clear" w:color="auto" w:fill="auto"/>
          </w:tcPr>
          <w:p w:rsidR="002D15AF" w:rsidRPr="00DC17F4" w:rsidRDefault="002D15AF" w:rsidP="005C7F78">
            <w:pPr>
              <w:pStyle w:val="Tablehead"/>
            </w:pPr>
            <w:r>
              <w:t>MTIE limit [n</w:t>
            </w:r>
            <w:r w:rsidRPr="00DC17F4">
              <w:t>s]</w:t>
            </w:r>
          </w:p>
        </w:tc>
        <w:tc>
          <w:tcPr>
            <w:tcW w:w="4703" w:type="dxa"/>
            <w:shd w:val="clear" w:color="auto" w:fill="auto"/>
          </w:tcPr>
          <w:p w:rsidR="002D15AF" w:rsidRPr="00DC17F4" w:rsidRDefault="002D15AF" w:rsidP="005C7F78">
            <w:pPr>
              <w:pStyle w:val="Tablehead"/>
            </w:pPr>
            <w:r w:rsidRPr="00DC17F4">
              <w:t>Observation interval τ [s]</w:t>
            </w:r>
          </w:p>
        </w:tc>
      </w:tr>
      <w:tr w:rsidR="00F1181C" w:rsidRPr="00DC17F4" w:rsidTr="005C7F78">
        <w:trPr>
          <w:cantSplit/>
          <w:jc w:val="center"/>
        </w:trPr>
        <w:tc>
          <w:tcPr>
            <w:tcW w:w="4936" w:type="dxa"/>
            <w:shd w:val="clear" w:color="auto" w:fill="auto"/>
          </w:tcPr>
          <w:p w:rsidR="00F1181C" w:rsidRDefault="00F1181C" w:rsidP="005C7F78">
            <w:pPr>
              <w:pStyle w:val="Tabletext"/>
              <w:jc w:val="center"/>
            </w:pPr>
            <w:r>
              <w:t>4</w:t>
            </w:r>
          </w:p>
        </w:tc>
        <w:tc>
          <w:tcPr>
            <w:tcW w:w="4703" w:type="dxa"/>
            <w:shd w:val="clear" w:color="auto" w:fill="auto"/>
          </w:tcPr>
          <w:p w:rsidR="00F1181C" w:rsidRPr="00DC17F4" w:rsidRDefault="00F1181C" w:rsidP="005C7F78">
            <w:pPr>
              <w:pStyle w:val="Tabletext"/>
              <w:jc w:val="center"/>
            </w:pPr>
            <w:r>
              <w:t xml:space="preserve">0.1 </w:t>
            </w:r>
            <w:r w:rsidRPr="00DC17F4">
              <w:t xml:space="preserve">&lt; </w:t>
            </w:r>
            <w:r w:rsidRPr="00DC17F4">
              <w:rPr>
                <w:szCs w:val="22"/>
              </w:rPr>
              <w:sym w:font="Symbol" w:char="F074"/>
            </w:r>
            <w:r>
              <w:rPr>
                <w:szCs w:val="22"/>
              </w:rPr>
              <w:t xml:space="preserve"> </w:t>
            </w:r>
            <w:r w:rsidRPr="00DC17F4">
              <w:rPr>
                <w:szCs w:val="22"/>
              </w:rPr>
              <w:t>≤</w:t>
            </w:r>
            <w:r>
              <w:rPr>
                <w:szCs w:val="22"/>
              </w:rPr>
              <w:t xml:space="preserve"> 1</w:t>
            </w:r>
          </w:p>
        </w:tc>
      </w:tr>
      <w:tr w:rsidR="00F1181C" w:rsidRPr="00DC17F4" w:rsidTr="005C7F78">
        <w:trPr>
          <w:cantSplit/>
          <w:jc w:val="center"/>
        </w:trPr>
        <w:tc>
          <w:tcPr>
            <w:tcW w:w="4936" w:type="dxa"/>
            <w:shd w:val="clear" w:color="auto" w:fill="auto"/>
          </w:tcPr>
          <w:p w:rsidR="00F1181C" w:rsidRDefault="00F1181C" w:rsidP="005C7F78">
            <w:pPr>
              <w:pStyle w:val="Tabletext"/>
              <w:jc w:val="center"/>
            </w:pPr>
            <w:r>
              <w:t xml:space="preserve">0.11114 × </w:t>
            </w:r>
            <w:r w:rsidRPr="00DC17F4">
              <w:rPr>
                <w:szCs w:val="22"/>
              </w:rPr>
              <w:sym w:font="Symbol" w:char="F074"/>
            </w:r>
            <w:r>
              <w:t xml:space="preserve"> + 3.89</w:t>
            </w:r>
          </w:p>
        </w:tc>
        <w:tc>
          <w:tcPr>
            <w:tcW w:w="4703" w:type="dxa"/>
            <w:shd w:val="clear" w:color="auto" w:fill="auto"/>
          </w:tcPr>
          <w:p w:rsidR="00F1181C" w:rsidRPr="00DC17F4" w:rsidRDefault="00F1181C" w:rsidP="005C7F78">
            <w:pPr>
              <w:pStyle w:val="Tabletext"/>
              <w:jc w:val="center"/>
            </w:pPr>
            <w:r>
              <w:t xml:space="preserve">1 </w:t>
            </w:r>
            <w:r w:rsidRPr="00DC17F4">
              <w:t xml:space="preserve">&lt; </w:t>
            </w:r>
            <w:r w:rsidRPr="00DC17F4">
              <w:rPr>
                <w:szCs w:val="22"/>
              </w:rPr>
              <w:sym w:font="Symbol" w:char="F074"/>
            </w:r>
            <w:r>
              <w:rPr>
                <w:szCs w:val="22"/>
              </w:rPr>
              <w:t xml:space="preserve"> </w:t>
            </w:r>
            <w:r w:rsidRPr="00DC17F4">
              <w:rPr>
                <w:szCs w:val="22"/>
              </w:rPr>
              <w:t>≤</w:t>
            </w:r>
            <w:r>
              <w:rPr>
                <w:szCs w:val="22"/>
              </w:rPr>
              <w:t xml:space="preserve"> 100</w:t>
            </w:r>
          </w:p>
        </w:tc>
      </w:tr>
      <w:tr w:rsidR="00F1181C" w:rsidRPr="00DC17F4" w:rsidTr="005C7F78">
        <w:trPr>
          <w:cantSplit/>
          <w:jc w:val="center"/>
        </w:trPr>
        <w:tc>
          <w:tcPr>
            <w:tcW w:w="4936" w:type="dxa"/>
            <w:shd w:val="clear" w:color="auto" w:fill="auto"/>
          </w:tcPr>
          <w:p w:rsidR="00F1181C" w:rsidRPr="00DC17F4" w:rsidRDefault="00F1181C" w:rsidP="005C7F78">
            <w:pPr>
              <w:pStyle w:val="Tabletext"/>
              <w:jc w:val="center"/>
            </w:pPr>
            <w:r>
              <w:t>0.0375</w:t>
            </w:r>
            <w:r w:rsidRPr="00DC17F4">
              <w:t xml:space="preserve"> × 10</w:t>
            </w:r>
            <w:r>
              <w:rPr>
                <w:vertAlign w:val="superscript"/>
              </w:rPr>
              <w:t>−</w:t>
            </w:r>
            <w:r w:rsidRPr="00DC17F4">
              <w:rPr>
                <w:vertAlign w:val="superscript"/>
              </w:rPr>
              <w:t>3</w:t>
            </w:r>
            <w:r w:rsidRPr="00DC17F4">
              <w:rPr>
                <w:szCs w:val="22"/>
              </w:rPr>
              <w:sym w:font="Symbol" w:char="F074"/>
            </w:r>
            <w:r>
              <w:t xml:space="preserve"> + 15</w:t>
            </w:r>
          </w:p>
        </w:tc>
        <w:tc>
          <w:tcPr>
            <w:tcW w:w="4703" w:type="dxa"/>
            <w:shd w:val="clear" w:color="auto" w:fill="auto"/>
          </w:tcPr>
          <w:p w:rsidR="00F1181C" w:rsidRPr="00DC17F4" w:rsidRDefault="00F1181C" w:rsidP="005C7F78">
            <w:pPr>
              <w:pStyle w:val="Tabletext"/>
              <w:jc w:val="center"/>
            </w:pPr>
            <w:r>
              <w:t>100</w:t>
            </w:r>
            <w:r w:rsidRPr="00DC17F4">
              <w:t xml:space="preserve"> &lt; </w:t>
            </w:r>
            <w:r w:rsidRPr="00DC17F4">
              <w:rPr>
                <w:szCs w:val="22"/>
              </w:rPr>
              <w:sym w:font="Symbol" w:char="F074"/>
            </w:r>
            <w:r w:rsidRPr="00DC17F4">
              <w:rPr>
                <w:szCs w:val="22"/>
              </w:rPr>
              <w:t xml:space="preserve"> ≤</w:t>
            </w:r>
            <w:r>
              <w:t xml:space="preserve"> 400 000</w:t>
            </w:r>
          </w:p>
        </w:tc>
      </w:tr>
      <w:tr w:rsidR="00F1181C" w:rsidRPr="00DC17F4" w:rsidTr="005C7F78">
        <w:trPr>
          <w:cantSplit/>
          <w:jc w:val="center"/>
        </w:trPr>
        <w:tc>
          <w:tcPr>
            <w:tcW w:w="4936" w:type="dxa"/>
            <w:shd w:val="clear" w:color="auto" w:fill="auto"/>
          </w:tcPr>
          <w:p w:rsidR="00F1181C" w:rsidRPr="00DC17F4" w:rsidRDefault="00F1181C" w:rsidP="005C7F78">
            <w:pPr>
              <w:pStyle w:val="Tabletext"/>
              <w:jc w:val="center"/>
            </w:pPr>
            <w:r>
              <w:t>30</w:t>
            </w:r>
          </w:p>
        </w:tc>
        <w:tc>
          <w:tcPr>
            <w:tcW w:w="4703" w:type="dxa"/>
            <w:shd w:val="clear" w:color="auto" w:fill="auto"/>
          </w:tcPr>
          <w:p w:rsidR="00F1181C" w:rsidRPr="00DC17F4" w:rsidRDefault="00F1181C" w:rsidP="005C7F78">
            <w:pPr>
              <w:pStyle w:val="Tabletext"/>
              <w:jc w:val="center"/>
            </w:pPr>
            <w:r w:rsidRPr="00DC17F4">
              <w:rPr>
                <w:szCs w:val="22"/>
              </w:rPr>
              <w:sym w:font="Symbol" w:char="F074"/>
            </w:r>
            <w:r>
              <w:t xml:space="preserve"> &gt; 400 000</w:t>
            </w:r>
          </w:p>
        </w:tc>
      </w:tr>
    </w:tbl>
    <w:p w:rsidR="0098469F" w:rsidRPr="00CA4ECE" w:rsidRDefault="0098469F" w:rsidP="0098469F">
      <w:r w:rsidRPr="00CA4ECE">
        <w:t>The resultant requirements are shown in Figure 1.</w:t>
      </w:r>
    </w:p>
    <w:p w:rsidR="0098469F" w:rsidRPr="00CA4ECE" w:rsidRDefault="008D2060" w:rsidP="0098469F">
      <w:pPr>
        <w:pStyle w:val="Figure"/>
      </w:pPr>
      <w:r>
        <w:rPr>
          <w:noProof/>
          <w:lang w:eastAsia="zh-CN"/>
        </w:rPr>
        <w:drawing>
          <wp:inline distT="0" distB="0" distL="0" distR="0">
            <wp:extent cx="5943600" cy="3250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250655"/>
                    </a:xfrm>
                    <a:prstGeom prst="rect">
                      <a:avLst/>
                    </a:prstGeom>
                    <a:noFill/>
                    <a:ln>
                      <a:noFill/>
                    </a:ln>
                  </pic:spPr>
                </pic:pic>
              </a:graphicData>
            </a:graphic>
          </wp:inline>
        </w:drawing>
      </w:r>
    </w:p>
    <w:p w:rsidR="0098469F" w:rsidRPr="00CA4ECE" w:rsidRDefault="0098469F" w:rsidP="0098469F">
      <w:pPr>
        <w:pStyle w:val="FigureNoTitle0"/>
      </w:pPr>
      <w:r w:rsidRPr="00CA4ECE">
        <w:t xml:space="preserve">Figure 1 – MTIE as a function of an observation (integration) </w:t>
      </w:r>
      <w:r w:rsidR="00263FF3">
        <w:t>interval</w:t>
      </w:r>
      <w:r w:rsidR="00263FF3" w:rsidRPr="00CA4ECE">
        <w:t xml:space="preserve"> </w:t>
      </w:r>
      <w:r w:rsidRPr="00CA4ECE">
        <w:rPr>
          <w:rFonts w:ascii="Symbol" w:hAnsi="Symbol" w:cs="Symbol"/>
          <w:sz w:val="20"/>
        </w:rPr>
        <w:t></w:t>
      </w:r>
    </w:p>
    <w:p w:rsidR="0098469F" w:rsidRPr="00CA4ECE" w:rsidRDefault="0098469F" w:rsidP="0098469F">
      <w:pPr>
        <w:pStyle w:val="Note"/>
      </w:pPr>
      <w:r w:rsidRPr="00CA4ECE">
        <w:t>NOTE</w:t>
      </w:r>
      <w:r>
        <w:t xml:space="preserve"> 1 –</w:t>
      </w:r>
      <w:r w:rsidRPr="00CA4ECE">
        <w:t xml:space="preserve"> For the 1</w:t>
      </w:r>
      <w:r w:rsidR="00965C1E">
        <w:t xml:space="preserve"> </w:t>
      </w:r>
      <w:r w:rsidRPr="00CA4ECE">
        <w:t xml:space="preserve">PPS output interface, the MTIE </w:t>
      </w:r>
      <w:r w:rsidR="00263FF3">
        <w:t>mask</w:t>
      </w:r>
      <w:r w:rsidR="00263FF3" w:rsidRPr="00CA4ECE">
        <w:t xml:space="preserve"> </w:t>
      </w:r>
      <w:r w:rsidRPr="00CA4ECE">
        <w:t xml:space="preserve">is applicable </w:t>
      </w:r>
      <w:r w:rsidR="00263FF3">
        <w:t>for observation intervals greater than</w:t>
      </w:r>
      <w:r w:rsidR="00263FF3" w:rsidRPr="00CA4ECE">
        <w:t xml:space="preserve"> </w:t>
      </w:r>
      <w:r w:rsidR="00263FF3">
        <w:t>or equal to</w:t>
      </w:r>
      <w:r w:rsidRPr="00CA4ECE">
        <w:t xml:space="preserve"> 1 second.</w:t>
      </w:r>
    </w:p>
    <w:p w:rsidR="0098469F" w:rsidRPr="00CA4ECE" w:rsidRDefault="0098469F" w:rsidP="0098469F">
      <w:r w:rsidRPr="00CA4ECE">
        <w:t xml:space="preserve">When the </w:t>
      </w:r>
      <w:r w:rsidR="00276409">
        <w:t>e</w:t>
      </w:r>
      <w:r w:rsidRPr="00CA4ECE">
        <w:t>PRTC is in the normal, locked mode of operation, the wander, expressed in TDEV, measured using a similar configuration as the synchronized clock configuration defined in Figure</w:t>
      </w:r>
      <w:r>
        <w:t> </w:t>
      </w:r>
      <w:r w:rsidRPr="00CA4ECE">
        <w:t>1a</w:t>
      </w:r>
      <w:r w:rsidRPr="000256DE">
        <w:t xml:space="preserve"> </w:t>
      </w:r>
      <w:r>
        <w:t xml:space="preserve">of [ITU-T </w:t>
      </w:r>
      <w:r w:rsidRPr="00CA4ECE">
        <w:t>G.810</w:t>
      </w:r>
      <w:r>
        <w:t>]</w:t>
      </w:r>
      <w:r w:rsidRPr="00CA4ECE">
        <w:t xml:space="preserve"> (with the use of a </w:t>
      </w:r>
      <w:r>
        <w:t>t</w:t>
      </w:r>
      <w:r w:rsidRPr="00CA4ECE">
        <w:t xml:space="preserve">ime </w:t>
      </w:r>
      <w:r>
        <w:t>s</w:t>
      </w:r>
      <w:r w:rsidRPr="00CA4ECE">
        <w:t xml:space="preserve">tandard instead of a </w:t>
      </w:r>
      <w:r>
        <w:t>f</w:t>
      </w:r>
      <w:r w:rsidRPr="00CA4ECE">
        <w:t xml:space="preserve">requency </w:t>
      </w:r>
      <w:r>
        <w:t>s</w:t>
      </w:r>
      <w:r w:rsidRPr="00CA4ECE">
        <w:t>tandard), should have the following limits:</w:t>
      </w:r>
    </w:p>
    <w:p w:rsidR="0098469F" w:rsidRPr="00CA4ECE" w:rsidRDefault="0098469F" w:rsidP="0098469F">
      <w:pPr>
        <w:pStyle w:val="TableNoTitle0"/>
      </w:pPr>
      <w:r w:rsidRPr="00CA4ECE">
        <w:t>Table 2 – Wander generation (TDEV)</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6"/>
        <w:gridCol w:w="4703"/>
      </w:tblGrid>
      <w:tr w:rsidR="0098469F" w:rsidRPr="00CA4ECE" w:rsidTr="005C7F78">
        <w:trPr>
          <w:cantSplit/>
          <w:jc w:val="center"/>
        </w:trPr>
        <w:tc>
          <w:tcPr>
            <w:tcW w:w="4936" w:type="dxa"/>
          </w:tcPr>
          <w:p w:rsidR="0098469F" w:rsidRPr="000256DE" w:rsidRDefault="0098469F" w:rsidP="005C7F78">
            <w:pPr>
              <w:pStyle w:val="Tablehead"/>
              <w:rPr>
                <w:bCs/>
              </w:rPr>
            </w:pPr>
            <w:r w:rsidRPr="000256DE">
              <w:rPr>
                <w:bCs/>
              </w:rPr>
              <w:t>TDEV limit [ns]</w:t>
            </w:r>
          </w:p>
        </w:tc>
        <w:tc>
          <w:tcPr>
            <w:tcW w:w="4703" w:type="dxa"/>
          </w:tcPr>
          <w:p w:rsidR="0098469F" w:rsidRPr="00CA4ECE" w:rsidRDefault="0098469F" w:rsidP="005C7F78">
            <w:pPr>
              <w:pStyle w:val="Tablehead"/>
            </w:pPr>
            <w:r w:rsidRPr="00CA4ECE">
              <w:t>Observation interval τ [s]</w:t>
            </w:r>
          </w:p>
        </w:tc>
      </w:tr>
      <w:tr w:rsidR="0098469F" w:rsidRPr="00CA4ECE" w:rsidTr="005C7F78">
        <w:trPr>
          <w:cantSplit/>
          <w:jc w:val="center"/>
        </w:trPr>
        <w:tc>
          <w:tcPr>
            <w:tcW w:w="4936" w:type="dxa"/>
          </w:tcPr>
          <w:p w:rsidR="0098469F" w:rsidRPr="00CA4ECE" w:rsidRDefault="00276409" w:rsidP="005C7F78">
            <w:pPr>
              <w:pStyle w:val="Tabletext"/>
              <w:jc w:val="center"/>
            </w:pPr>
            <w:r>
              <w:t>1</w:t>
            </w:r>
          </w:p>
        </w:tc>
        <w:tc>
          <w:tcPr>
            <w:tcW w:w="4703" w:type="dxa"/>
          </w:tcPr>
          <w:p w:rsidR="0098469F" w:rsidRPr="00CA4ECE" w:rsidRDefault="00D42A8C" w:rsidP="00276409">
            <w:pPr>
              <w:pStyle w:val="Tabletext"/>
              <w:jc w:val="center"/>
            </w:pPr>
            <w:r w:rsidRPr="00DC17F4">
              <w:t xml:space="preserve">0.1 &lt; </w:t>
            </w:r>
            <w:r w:rsidR="0098469F" w:rsidRPr="00CA4ECE">
              <w:rPr>
                <w:szCs w:val="22"/>
              </w:rPr>
              <w:sym w:font="Symbol" w:char="F074"/>
            </w:r>
            <w:r w:rsidR="0098469F" w:rsidRPr="00CA4ECE">
              <w:t xml:space="preserve"> </w:t>
            </w:r>
            <w:r w:rsidR="0098469F">
              <w:t>≤</w:t>
            </w:r>
            <w:r w:rsidR="0098469F" w:rsidRPr="00CA4ECE">
              <w:t xml:space="preserve"> </w:t>
            </w:r>
            <w:r w:rsidR="00276409">
              <w:t>30 000</w:t>
            </w:r>
          </w:p>
        </w:tc>
      </w:tr>
      <w:tr w:rsidR="0098469F" w:rsidRPr="00CA4ECE" w:rsidTr="005C7F78">
        <w:trPr>
          <w:cantSplit/>
          <w:jc w:val="center"/>
        </w:trPr>
        <w:tc>
          <w:tcPr>
            <w:tcW w:w="4936" w:type="dxa"/>
          </w:tcPr>
          <w:p w:rsidR="0098469F" w:rsidRPr="00CA4ECE" w:rsidRDefault="009952BE" w:rsidP="009952BE">
            <w:pPr>
              <w:pStyle w:val="Tabletext"/>
              <w:jc w:val="center"/>
            </w:pPr>
            <w:r>
              <w:t>3.333</w:t>
            </w:r>
            <w:r w:rsidR="002D15AF">
              <w:t>33</w:t>
            </w:r>
            <w:r>
              <w:t xml:space="preserve">× </w:t>
            </w:r>
            <w:r w:rsidRPr="00CA4ECE">
              <w:t>10</w:t>
            </w:r>
            <w:r w:rsidRPr="000256DE">
              <w:rPr>
                <w:vertAlign w:val="superscript"/>
              </w:rPr>
              <w:t>–</w:t>
            </w:r>
            <w:r>
              <w:rPr>
                <w:vertAlign w:val="superscript"/>
              </w:rPr>
              <w:t>5</w:t>
            </w:r>
            <w:r w:rsidRPr="00CA4ECE">
              <w:rPr>
                <w:szCs w:val="22"/>
              </w:rPr>
              <w:sym w:font="Symbol" w:char="F074"/>
            </w:r>
            <w:r>
              <w:t xml:space="preserve"> </w:t>
            </w:r>
          </w:p>
        </w:tc>
        <w:tc>
          <w:tcPr>
            <w:tcW w:w="4703" w:type="dxa"/>
          </w:tcPr>
          <w:p w:rsidR="0098469F" w:rsidRPr="00CA4ECE" w:rsidRDefault="00276409" w:rsidP="005C7F78">
            <w:pPr>
              <w:pStyle w:val="Tabletext"/>
              <w:jc w:val="center"/>
            </w:pPr>
            <w:r>
              <w:t>30 000</w:t>
            </w:r>
            <w:r w:rsidR="0098469F">
              <w:t xml:space="preserve"> </w:t>
            </w:r>
            <w:r w:rsidR="0098469F" w:rsidRPr="00CA4ECE">
              <w:t xml:space="preserve">&lt; </w:t>
            </w:r>
            <w:r w:rsidR="0098469F" w:rsidRPr="00CA4ECE">
              <w:rPr>
                <w:szCs w:val="22"/>
              </w:rPr>
              <w:sym w:font="Symbol" w:char="F074"/>
            </w:r>
            <w:r w:rsidR="0098469F" w:rsidRPr="00CA4ECE">
              <w:t xml:space="preserve"> </w:t>
            </w:r>
            <w:r w:rsidR="0098469F">
              <w:t>≤</w:t>
            </w:r>
            <w:r>
              <w:t xml:space="preserve"> 300</w:t>
            </w:r>
            <w:r w:rsidR="00D42A8C">
              <w:t xml:space="preserve"> </w:t>
            </w:r>
            <w:r w:rsidR="0098469F" w:rsidRPr="00CA4ECE">
              <w:t>000</w:t>
            </w:r>
          </w:p>
        </w:tc>
      </w:tr>
      <w:tr w:rsidR="0098469F" w:rsidRPr="00CA4ECE" w:rsidTr="005C7F78">
        <w:trPr>
          <w:cantSplit/>
          <w:jc w:val="center"/>
        </w:trPr>
        <w:tc>
          <w:tcPr>
            <w:tcW w:w="4936" w:type="dxa"/>
          </w:tcPr>
          <w:p w:rsidR="0098469F" w:rsidRPr="00CA4ECE" w:rsidRDefault="00276409" w:rsidP="005C7F78">
            <w:pPr>
              <w:pStyle w:val="Tabletext"/>
              <w:jc w:val="center"/>
            </w:pPr>
            <w:r>
              <w:t>1</w:t>
            </w:r>
            <w:r w:rsidR="0098469F" w:rsidRPr="00CA4ECE">
              <w:t>0</w:t>
            </w:r>
          </w:p>
        </w:tc>
        <w:tc>
          <w:tcPr>
            <w:tcW w:w="4703" w:type="dxa"/>
          </w:tcPr>
          <w:p w:rsidR="0098469F" w:rsidRPr="00CA4ECE" w:rsidRDefault="00D42A8C" w:rsidP="005C7F78">
            <w:pPr>
              <w:pStyle w:val="Tabletext"/>
              <w:jc w:val="center"/>
            </w:pPr>
            <w:r>
              <w:t xml:space="preserve">300 </w:t>
            </w:r>
            <w:r w:rsidRPr="00DC17F4">
              <w:t xml:space="preserve">000 &lt; </w:t>
            </w:r>
            <w:r w:rsidRPr="00DC17F4">
              <w:rPr>
                <w:szCs w:val="22"/>
              </w:rPr>
              <w:sym w:font="Symbol" w:char="F074"/>
            </w:r>
            <w:r>
              <w:t xml:space="preserve"> &lt; 1 </w:t>
            </w:r>
            <w:r w:rsidRPr="00DC17F4">
              <w:t>000</w:t>
            </w:r>
            <w:r>
              <w:t xml:space="preserve"> 000</w:t>
            </w:r>
          </w:p>
        </w:tc>
      </w:tr>
    </w:tbl>
    <w:p w:rsidR="0098469F" w:rsidRPr="00CA4ECE" w:rsidRDefault="0098469F" w:rsidP="0098469F">
      <w:pPr>
        <w:keepNext/>
        <w:keepLines/>
      </w:pPr>
      <w:r w:rsidRPr="00CA4ECE">
        <w:t>The resultant requirements are shown in Figure 2.</w:t>
      </w:r>
    </w:p>
    <w:p w:rsidR="0098469F" w:rsidRPr="00CA4ECE" w:rsidRDefault="0012560E" w:rsidP="0098469F">
      <w:pPr>
        <w:pStyle w:val="Figure"/>
      </w:pPr>
      <w:r>
        <w:rPr>
          <w:noProof/>
          <w:lang w:eastAsia="zh-CN"/>
        </w:rPr>
        <w:drawing>
          <wp:inline distT="0" distB="0" distL="0" distR="0">
            <wp:extent cx="5943600" cy="3306445"/>
            <wp:effectExtent l="0" t="0" r="0" b="825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306445"/>
                    </a:xfrm>
                    <a:prstGeom prst="rect">
                      <a:avLst/>
                    </a:prstGeom>
                  </pic:spPr>
                </pic:pic>
              </a:graphicData>
            </a:graphic>
          </wp:inline>
        </w:drawing>
      </w:r>
    </w:p>
    <w:p w:rsidR="0098469F" w:rsidRPr="00CA4ECE" w:rsidRDefault="0098469F" w:rsidP="0098469F">
      <w:pPr>
        <w:pStyle w:val="FigureNoTitle0"/>
      </w:pPr>
      <w:r w:rsidRPr="00CA4ECE">
        <w:t xml:space="preserve">Figure 2 – TDEV as a function of an observation (integration) </w:t>
      </w:r>
      <w:r w:rsidR="00263FF3">
        <w:t>interval</w:t>
      </w:r>
      <w:r w:rsidR="00263FF3" w:rsidRPr="00CA4ECE">
        <w:t xml:space="preserve"> </w:t>
      </w:r>
      <w:r w:rsidRPr="00CA4ECE">
        <w:rPr>
          <w:rFonts w:ascii="Symbol" w:hAnsi="Symbol" w:cs="Symbol"/>
        </w:rPr>
        <w:t></w:t>
      </w:r>
    </w:p>
    <w:p w:rsidR="0098469F" w:rsidRPr="00CA4ECE" w:rsidRDefault="0098469F" w:rsidP="0098469F">
      <w:pPr>
        <w:pStyle w:val="Note"/>
      </w:pPr>
      <w:r w:rsidRPr="00CA4ECE">
        <w:t>NOTE</w:t>
      </w:r>
      <w:r>
        <w:t xml:space="preserve"> 2 –</w:t>
      </w:r>
      <w:r w:rsidRPr="00CA4ECE">
        <w:t xml:space="preserve"> For the 1</w:t>
      </w:r>
      <w:r w:rsidR="00965C1E">
        <w:t xml:space="preserve"> </w:t>
      </w:r>
      <w:r w:rsidRPr="00CA4ECE">
        <w:t>PPS output interface, the TDEV</w:t>
      </w:r>
      <w:r w:rsidR="00263FF3">
        <w:t xml:space="preserve"> mask</w:t>
      </w:r>
      <w:r w:rsidRPr="00CA4ECE">
        <w:t xml:space="preserve"> is applicable</w:t>
      </w:r>
      <w:r w:rsidR="00263FF3">
        <w:t xml:space="preserve"> for</w:t>
      </w:r>
      <w:r w:rsidRPr="00CA4ECE">
        <w:t xml:space="preserve"> </w:t>
      </w:r>
      <w:r w:rsidR="00263FF3">
        <w:t>observation intervals greater than</w:t>
      </w:r>
      <w:r w:rsidR="00263FF3" w:rsidRPr="00CA4ECE">
        <w:t xml:space="preserve"> </w:t>
      </w:r>
      <w:r w:rsidR="00263FF3">
        <w:t>or equal to</w:t>
      </w:r>
      <w:r w:rsidRPr="00CA4ECE">
        <w:t xml:space="preserve"> 1 second.</w:t>
      </w:r>
    </w:p>
    <w:p w:rsidR="0098469F" w:rsidRPr="00CA4ECE" w:rsidRDefault="0098469F" w:rsidP="0098469F">
      <w:r w:rsidRPr="00CA4ECE">
        <w:t>The applicable MTIE and TDEV requirements for 1</w:t>
      </w:r>
      <w:r w:rsidR="00965C1E">
        <w:t xml:space="preserve"> </w:t>
      </w:r>
      <w:r w:rsidRPr="00CA4ECE">
        <w:t xml:space="preserve">PPS output interfaces are based on the </w:t>
      </w:r>
      <w:r>
        <w:t>t</w:t>
      </w:r>
      <w:r w:rsidRPr="00CA4ECE">
        <w:t xml:space="preserve">ime </w:t>
      </w:r>
      <w:r>
        <w:t>i</w:t>
      </w:r>
      <w:r w:rsidRPr="00CA4ECE">
        <w:t xml:space="preserve">nterval </w:t>
      </w:r>
      <w:r>
        <w:t>e</w:t>
      </w:r>
      <w:r w:rsidRPr="00CA4ECE">
        <w:t>rror of the 1</w:t>
      </w:r>
      <w:r w:rsidR="00965C1E">
        <w:t xml:space="preserve"> </w:t>
      </w:r>
      <w:r w:rsidRPr="00CA4ECE">
        <w:t>PPS signal taken at one sample per second and without any low-pass filtering.</w:t>
      </w:r>
    </w:p>
    <w:p w:rsidR="0098469F" w:rsidRDefault="0098469F" w:rsidP="0098469F">
      <w:r w:rsidRPr="00CA4ECE">
        <w:t xml:space="preserve">The applicable MTIE and TDEV requirements for </w:t>
      </w:r>
      <w:r w:rsidR="00A2312D">
        <w:t xml:space="preserve">Synchronous Ethernet, </w:t>
      </w:r>
      <w:r w:rsidRPr="00CA4ECE">
        <w:t>2</w:t>
      </w:r>
      <w:r>
        <w:t> </w:t>
      </w:r>
      <w:r w:rsidRPr="00CA4ECE">
        <w:t>048</w:t>
      </w:r>
      <w:r>
        <w:t> </w:t>
      </w:r>
      <w:r w:rsidRPr="00CA4ECE">
        <w:t>kHz, 2</w:t>
      </w:r>
      <w:r>
        <w:t> </w:t>
      </w:r>
      <w:r w:rsidRPr="00CA4ECE">
        <w:t>048</w:t>
      </w:r>
      <w:r>
        <w:t> </w:t>
      </w:r>
      <w:r w:rsidRPr="00CA4ECE">
        <w:t>kbit/s and 1</w:t>
      </w:r>
      <w:r>
        <w:t> </w:t>
      </w:r>
      <w:r w:rsidRPr="00CA4ECE">
        <w:t>544</w:t>
      </w:r>
      <w:r>
        <w:t> </w:t>
      </w:r>
      <w:r w:rsidRPr="00CA4ECE">
        <w:t xml:space="preserve">kbit/s output interfaces are measured through an equivalent 10 Hz, first-order, low-pass measurement filter, at a maximum sampling time </w:t>
      </w:r>
      <w:r w:rsidRPr="00CA4ECE">
        <w:sym w:font="Symbol" w:char="F074"/>
      </w:r>
      <w:r w:rsidRPr="00CA4ECE">
        <w:rPr>
          <w:vertAlign w:val="subscript"/>
        </w:rPr>
        <w:t>0</w:t>
      </w:r>
      <w:r w:rsidRPr="00CA4ECE">
        <w:t xml:space="preserve"> of 1/30 seconds. </w:t>
      </w:r>
    </w:p>
    <w:p w:rsidR="0098469F" w:rsidRPr="00B472A1" w:rsidRDefault="0098469F" w:rsidP="0098469F">
      <w:pPr>
        <w:rPr>
          <w:color w:val="000000"/>
        </w:rPr>
      </w:pPr>
      <w:r w:rsidRPr="00B472A1">
        <w:rPr>
          <w:color w:val="000000"/>
        </w:rPr>
        <w:t xml:space="preserve">The applicable MTIE </w:t>
      </w:r>
      <w:r w:rsidR="0012471E" w:rsidRPr="0012471E">
        <w:t>and TDEV requirements for an Ethernet interface carrying PTP messages are for further study.</w:t>
      </w:r>
    </w:p>
    <w:p w:rsidR="0098469F" w:rsidRPr="00CA4ECE" w:rsidRDefault="0098469F" w:rsidP="0098469F">
      <w:pPr>
        <w:pStyle w:val="Heading2"/>
      </w:pPr>
      <w:bookmarkStart w:id="38" w:name="_Toc341944224"/>
      <w:bookmarkStart w:id="39" w:name="_Toc350520281"/>
      <w:bookmarkStart w:id="40" w:name="_Toc350841669"/>
      <w:bookmarkStart w:id="41" w:name="_Toc353445184"/>
      <w:r>
        <w:t>6.3</w:t>
      </w:r>
      <w:r>
        <w:tab/>
      </w:r>
      <w:r w:rsidRPr="00CA4ECE">
        <w:t>Jitter</w:t>
      </w:r>
      <w:bookmarkEnd w:id="38"/>
      <w:bookmarkEnd w:id="39"/>
      <w:bookmarkEnd w:id="40"/>
      <w:bookmarkEnd w:id="41"/>
    </w:p>
    <w:p w:rsidR="00847130" w:rsidRDefault="0098469F" w:rsidP="00885606">
      <w:pPr>
        <w:pStyle w:val="Heading2"/>
      </w:pPr>
      <w:r w:rsidRPr="00CA4ECE">
        <w:t xml:space="preserve"> </w:t>
      </w:r>
      <w:r w:rsidR="00F95D8A" w:rsidRPr="00847130">
        <w:t>6.3.1</w:t>
      </w:r>
      <w:r w:rsidR="00F95D8A" w:rsidRPr="00847130">
        <w:tab/>
        <w:t>Output port jitter</w:t>
      </w:r>
    </w:p>
    <w:p w:rsidR="00037C6B" w:rsidRPr="00B7697F" w:rsidRDefault="0012471E" w:rsidP="00037C6B">
      <w:r w:rsidRPr="0012471E">
        <w:t xml:space="preserve">While most specifications in this Recommendation are independent of the output interface at which they are measured, this is not the case for jitter generation. Jitter generation specifications must utilize existing specifications that are currently specified differently for different interfaces. These requirements are stated separately for some of the interfaces identified in clause 9. </w:t>
      </w:r>
    </w:p>
    <w:p w:rsidR="00037C6B" w:rsidRPr="00B7697F" w:rsidRDefault="0012471E" w:rsidP="00037C6B">
      <w:r w:rsidRPr="0012471E">
        <w:t>The applicable jitter requirements for 2 048 kHz, 2 048 kbit/s, 1 544 kbit/s, and 10 MHz output interfaces are defined in [ITU T G.811].</w:t>
      </w:r>
    </w:p>
    <w:p w:rsidR="005F7322" w:rsidRDefault="0012471E">
      <w:r w:rsidRPr="0012471E">
        <w:t>The intrinsic jitter for the other interfaces identified in clause 9 is for further study</w:t>
      </w:r>
      <w:r w:rsidR="00163BF7">
        <w:t>.</w:t>
      </w:r>
    </w:p>
    <w:p w:rsidR="00F95D8A" w:rsidRPr="00847130" w:rsidRDefault="00F95D8A" w:rsidP="00885606">
      <w:pPr>
        <w:pStyle w:val="Heading2"/>
      </w:pPr>
      <w:r w:rsidRPr="00847130">
        <w:t>6.3.2</w:t>
      </w:r>
      <w:r w:rsidRPr="00847130">
        <w:tab/>
        <w:t>Input port jitter tolerance</w:t>
      </w:r>
    </w:p>
    <w:p w:rsidR="00F95D8A" w:rsidRDefault="00F95D8A" w:rsidP="00885606">
      <w:pPr>
        <w:rPr>
          <w:color w:val="000000"/>
        </w:rPr>
      </w:pPr>
      <w:r w:rsidRPr="00847130">
        <w:rPr>
          <w:color w:val="000000"/>
        </w:rPr>
        <w:t xml:space="preserve">The 10 MHz input interface should tolerate jitter as defined by G.811 for </w:t>
      </w:r>
      <w:r w:rsidR="00285862">
        <w:rPr>
          <w:color w:val="000000"/>
        </w:rPr>
        <w:t>the 10 MHz output</w:t>
      </w:r>
      <w:r w:rsidRPr="00847130">
        <w:rPr>
          <w:color w:val="000000"/>
        </w:rPr>
        <w:t xml:space="preserve"> interface.</w:t>
      </w:r>
    </w:p>
    <w:p w:rsidR="00D21866" w:rsidRDefault="00D21866" w:rsidP="00D21866">
      <w:r w:rsidRPr="007A6282">
        <w:t xml:space="preserve">The jitter </w:t>
      </w:r>
      <w:r>
        <w:t xml:space="preserve">tolerance </w:t>
      </w:r>
      <w:r w:rsidRPr="007A6282">
        <w:t>for the other interfaces identified in clause 9 is for further study</w:t>
      </w:r>
      <w:r w:rsidR="00163BF7">
        <w:t>.</w:t>
      </w:r>
    </w:p>
    <w:p w:rsidR="0098469F" w:rsidRDefault="00E02F3E" w:rsidP="0098469F">
      <w:pPr>
        <w:pStyle w:val="Heading1"/>
      </w:pPr>
      <w:bookmarkStart w:id="42" w:name="_Toc341944226"/>
      <w:bookmarkStart w:id="43" w:name="_Toc350520283"/>
      <w:bookmarkStart w:id="44" w:name="_Toc350841671"/>
      <w:bookmarkStart w:id="45" w:name="_Toc353445186"/>
      <w:r>
        <w:t>7</w:t>
      </w:r>
      <w:r w:rsidR="0098469F">
        <w:tab/>
      </w:r>
      <w:r w:rsidR="0098469F" w:rsidRPr="00CA4ECE">
        <w:t>Phase discontinuity</w:t>
      </w:r>
      <w:bookmarkEnd w:id="42"/>
      <w:bookmarkEnd w:id="43"/>
      <w:bookmarkEnd w:id="44"/>
      <w:bookmarkEnd w:id="45"/>
    </w:p>
    <w:p w:rsidR="00AA629A" w:rsidRPr="00DC17F4" w:rsidRDefault="00AA629A" w:rsidP="00AA629A">
      <w:r w:rsidRPr="00DC17F4">
        <w:t>The phase discontinuity for a</w:t>
      </w:r>
      <w:r>
        <w:t>n</w:t>
      </w:r>
      <w:r w:rsidRPr="00DC17F4">
        <w:t xml:space="preserve"> </w:t>
      </w:r>
      <w:r>
        <w:t>e</w:t>
      </w:r>
      <w:r w:rsidRPr="00DC17F4">
        <w:t>PRTC is for further study.</w:t>
      </w:r>
    </w:p>
    <w:p w:rsidR="005C7F78" w:rsidRDefault="00E02F3E">
      <w:r>
        <w:t>8</w:t>
      </w:r>
      <w:r w:rsidR="00B54CF1" w:rsidRPr="00E26DB4">
        <w:tab/>
      </w:r>
      <w:r w:rsidR="00B54CF1" w:rsidRPr="00E26DB4">
        <w:rPr>
          <w:b/>
        </w:rPr>
        <w:t>Transient response and holdover performance</w:t>
      </w:r>
    </w:p>
    <w:p w:rsidR="005C7F78" w:rsidRPr="00E26DB4" w:rsidRDefault="00E02F3E">
      <w:pPr>
        <w:rPr>
          <w:b/>
          <w:sz w:val="22"/>
          <w:szCs w:val="22"/>
          <w:lang w:val="en-US"/>
        </w:rPr>
      </w:pPr>
      <w:r>
        <w:rPr>
          <w:b/>
        </w:rPr>
        <w:t>8</w:t>
      </w:r>
      <w:r w:rsidR="00B54CF1" w:rsidRPr="00E26DB4">
        <w:rPr>
          <w:b/>
        </w:rPr>
        <w:t>.1</w:t>
      </w:r>
      <w:r w:rsidR="00B54CF1" w:rsidRPr="00E26DB4">
        <w:rPr>
          <w:b/>
        </w:rPr>
        <w:tab/>
      </w:r>
      <w:r w:rsidR="00FC0013" w:rsidRPr="00E26DB4">
        <w:rPr>
          <w:b/>
          <w:sz w:val="22"/>
          <w:szCs w:val="22"/>
          <w:lang w:val="en-US"/>
        </w:rPr>
        <w:t>Transient between time locked and frequency reference locked</w:t>
      </w:r>
    </w:p>
    <w:p w:rsidR="00836EA8" w:rsidRPr="00836EA8" w:rsidRDefault="00836EA8" w:rsidP="00836EA8">
      <w:pPr>
        <w:rPr>
          <w:sz w:val="22"/>
          <w:szCs w:val="22"/>
          <w:lang w:val="en-US"/>
        </w:rPr>
      </w:pPr>
      <w:r w:rsidRPr="00836EA8">
        <w:rPr>
          <w:sz w:val="22"/>
          <w:szCs w:val="22"/>
          <w:lang w:val="en-US"/>
        </w:rPr>
        <w:t xml:space="preserve">For the transition from time locked to frequency reference locked, the MTIE mask in clause 6.2 applies for a period up to </w:t>
      </w:r>
      <w:r w:rsidR="00A35C5E">
        <w:rPr>
          <w:sz w:val="22"/>
          <w:szCs w:val="22"/>
          <w:lang w:val="en-US"/>
        </w:rPr>
        <w:t>900 seconds</w:t>
      </w:r>
      <w:r w:rsidRPr="00836EA8">
        <w:rPr>
          <w:sz w:val="22"/>
          <w:szCs w:val="22"/>
          <w:lang w:val="en-US"/>
        </w:rPr>
        <w:t xml:space="preserve">. </w:t>
      </w:r>
    </w:p>
    <w:p w:rsidR="005540AB" w:rsidRDefault="00836EA8" w:rsidP="00836EA8">
      <w:pPr>
        <w:rPr>
          <w:sz w:val="22"/>
          <w:szCs w:val="22"/>
          <w:lang w:val="en-US"/>
        </w:rPr>
      </w:pPr>
      <w:r w:rsidRPr="00836EA8">
        <w:rPr>
          <w:sz w:val="22"/>
          <w:szCs w:val="22"/>
          <w:lang w:val="en-US"/>
        </w:rPr>
        <w:t>The transition from frequency reference locked to time locked is for further study.</w:t>
      </w:r>
    </w:p>
    <w:p w:rsidR="005C7F78" w:rsidRPr="00E26DB4" w:rsidRDefault="00E02F3E">
      <w:pPr>
        <w:rPr>
          <w:b/>
        </w:rPr>
      </w:pPr>
      <w:r>
        <w:rPr>
          <w:b/>
          <w:sz w:val="22"/>
          <w:szCs w:val="22"/>
          <w:lang w:val="en-US"/>
        </w:rPr>
        <w:t>8</w:t>
      </w:r>
      <w:r w:rsidR="003711C7" w:rsidRPr="00E26DB4">
        <w:rPr>
          <w:b/>
          <w:sz w:val="22"/>
          <w:szCs w:val="22"/>
          <w:lang w:val="en-US"/>
        </w:rPr>
        <w:t>.2</w:t>
      </w:r>
      <w:r w:rsidR="003711C7" w:rsidRPr="00E26DB4">
        <w:rPr>
          <w:b/>
          <w:sz w:val="22"/>
          <w:szCs w:val="22"/>
          <w:lang w:val="en-US"/>
        </w:rPr>
        <w:tab/>
      </w:r>
      <w:r w:rsidR="00DE22A1">
        <w:rPr>
          <w:b/>
          <w:sz w:val="22"/>
          <w:szCs w:val="22"/>
          <w:lang w:val="en-US"/>
        </w:rPr>
        <w:t>Phase/Time h</w:t>
      </w:r>
      <w:r w:rsidR="00DE22A1" w:rsidRPr="00E26DB4">
        <w:rPr>
          <w:b/>
          <w:sz w:val="22"/>
          <w:szCs w:val="22"/>
          <w:lang w:val="en-US"/>
        </w:rPr>
        <w:t>oldover based on local frequency reference</w:t>
      </w:r>
      <w:r w:rsidR="00DE22A1">
        <w:rPr>
          <w:b/>
          <w:sz w:val="22"/>
          <w:szCs w:val="22"/>
          <w:lang w:val="en-US"/>
        </w:rPr>
        <w:t xml:space="preserve"> during loss of phase/time input</w:t>
      </w:r>
    </w:p>
    <w:p w:rsidR="001B51D2" w:rsidRPr="00B02353" w:rsidRDefault="001B51D2" w:rsidP="001B51D2">
      <w:pPr>
        <w:rPr>
          <w:sz w:val="22"/>
        </w:rPr>
      </w:pPr>
      <w:r w:rsidRPr="00B02353">
        <w:rPr>
          <w:sz w:val="22"/>
        </w:rPr>
        <w:t>When an ePRTC loses all its input phase and time references, it enters the phase/time holdover state. Under these circumstances, the ePRTC will rely on a</w:t>
      </w:r>
      <w:r w:rsidR="00A5074F">
        <w:rPr>
          <w:sz w:val="22"/>
        </w:rPr>
        <w:t>n</w:t>
      </w:r>
      <w:r w:rsidRPr="00B02353">
        <w:rPr>
          <w:sz w:val="22"/>
        </w:rPr>
        <w:t xml:space="preserve"> autonomous PRC frequency reference input.</w:t>
      </w:r>
    </w:p>
    <w:p w:rsidR="001B51D2" w:rsidRDefault="001B51D2" w:rsidP="001B51D2">
      <w:pPr>
        <w:rPr>
          <w:sz w:val="22"/>
        </w:rPr>
      </w:pPr>
      <w:r w:rsidRPr="00B02353">
        <w:rPr>
          <w:sz w:val="22"/>
        </w:rPr>
        <w:t>The phase/time holdover requirement bounds the maximum excursions in the output timing signal. Additionally, it restricts the accumulation of the phase movement during input signal impairments or internal disturbances.</w:t>
      </w:r>
      <w:r>
        <w:rPr>
          <w:sz w:val="22"/>
        </w:rPr>
        <w:t xml:space="preserve">  </w:t>
      </w:r>
    </w:p>
    <w:p w:rsidR="00A5074F" w:rsidRDefault="00A5074F" w:rsidP="00A5074F">
      <w:pPr>
        <w:rPr>
          <w:sz w:val="22"/>
        </w:rPr>
      </w:pPr>
      <w:r>
        <w:rPr>
          <w:sz w:val="22"/>
        </w:rPr>
        <w:t xml:space="preserve">For the ePRTC-A, the holdover requirements are as follows: </w:t>
      </w:r>
    </w:p>
    <w:p w:rsidR="00A5074F" w:rsidRPr="00A5074F" w:rsidRDefault="00A5074F" w:rsidP="00A5074F">
      <w:pPr>
        <w:pStyle w:val="ListParagraph"/>
        <w:numPr>
          <w:ilvl w:val="0"/>
          <w:numId w:val="16"/>
        </w:numPr>
        <w:tabs>
          <w:tab w:val="left" w:pos="794"/>
          <w:tab w:val="left" w:pos="1191"/>
          <w:tab w:val="left" w:pos="1588"/>
          <w:tab w:val="left" w:pos="1985"/>
        </w:tabs>
        <w:overflowPunct w:val="0"/>
        <w:autoSpaceDE w:val="0"/>
        <w:autoSpaceDN w:val="0"/>
        <w:adjustRightInd w:val="0"/>
        <w:jc w:val="both"/>
        <w:textAlignment w:val="baseline"/>
        <w:rPr>
          <w:sz w:val="22"/>
          <w:lang w:val="en-US"/>
        </w:rPr>
      </w:pPr>
      <w:r w:rsidRPr="00A5074F">
        <w:rPr>
          <w:sz w:val="22"/>
          <w:lang w:val="en-US"/>
        </w:rPr>
        <w:t xml:space="preserve">From the start of phase/time holdover, after 30 days of continuous normal operation, the time output of the ePRTC should be accurate, when verified against the applicable primary time standard (e.g. UTC), to within a value increasing linearly from 30 ns to 100 ns over a 14 day period, as defined in Table 3 </w:t>
      </w:r>
      <w:r w:rsidR="00E038F3">
        <w:rPr>
          <w:sz w:val="22"/>
          <w:lang w:val="en-US"/>
        </w:rPr>
        <w:t>and</w:t>
      </w:r>
      <w:r w:rsidRPr="00A5074F">
        <w:rPr>
          <w:sz w:val="22"/>
          <w:lang w:val="en-US"/>
        </w:rPr>
        <w:t xml:space="preserve"> shown in</w:t>
      </w:r>
      <w:r w:rsidR="007E12FB">
        <w:rPr>
          <w:sz w:val="22"/>
          <w:lang w:val="en-US"/>
        </w:rPr>
        <w:t xml:space="preserve"> </w:t>
      </w:r>
      <w:r w:rsidR="007E12FB" w:rsidRPr="007E12FB">
        <w:rPr>
          <w:sz w:val="22"/>
          <w:lang w:val="en-US"/>
        </w:rPr>
        <w:t>Figure 3</w:t>
      </w:r>
      <w:r w:rsidRPr="007E12FB">
        <w:rPr>
          <w:sz w:val="22"/>
          <w:lang w:val="en-US"/>
        </w:rPr>
        <w:t>.</w:t>
      </w:r>
      <w:r w:rsidRPr="00A5074F">
        <w:rPr>
          <w:sz w:val="22"/>
          <w:lang w:val="en-US"/>
        </w:rPr>
        <w:t xml:space="preserve">  </w:t>
      </w:r>
    </w:p>
    <w:p w:rsidR="00A5074F" w:rsidRDefault="00A5074F" w:rsidP="00E038F3">
      <w:pPr>
        <w:rPr>
          <w:sz w:val="22"/>
        </w:rPr>
      </w:pPr>
      <w:r>
        <w:rPr>
          <w:sz w:val="22"/>
        </w:rPr>
        <w:t xml:space="preserve">For </w:t>
      </w:r>
      <w:r w:rsidRPr="00E51720">
        <w:rPr>
          <w:sz w:val="22"/>
        </w:rPr>
        <w:t>the ePRTC-B</w:t>
      </w:r>
      <w:r>
        <w:rPr>
          <w:sz w:val="22"/>
        </w:rPr>
        <w:t xml:space="preserve">, a higher-performance ePRTC, </w:t>
      </w:r>
      <w:r w:rsidR="00E038F3">
        <w:rPr>
          <w:sz w:val="22"/>
        </w:rPr>
        <w:t>the holdover requirements are as follows:</w:t>
      </w:r>
    </w:p>
    <w:p w:rsidR="00A5074F" w:rsidRDefault="00A5074F" w:rsidP="00A5074F">
      <w:pPr>
        <w:pStyle w:val="ListParagraph"/>
        <w:numPr>
          <w:ilvl w:val="0"/>
          <w:numId w:val="16"/>
        </w:numPr>
        <w:tabs>
          <w:tab w:val="left" w:pos="794"/>
          <w:tab w:val="left" w:pos="1191"/>
          <w:tab w:val="left" w:pos="1588"/>
          <w:tab w:val="left" w:pos="1985"/>
        </w:tabs>
        <w:overflowPunct w:val="0"/>
        <w:autoSpaceDE w:val="0"/>
        <w:autoSpaceDN w:val="0"/>
        <w:adjustRightInd w:val="0"/>
        <w:jc w:val="both"/>
        <w:textAlignment w:val="baseline"/>
        <w:rPr>
          <w:sz w:val="22"/>
        </w:rPr>
      </w:pPr>
      <w:r>
        <w:rPr>
          <w:sz w:val="22"/>
        </w:rPr>
        <w:t>For</w:t>
      </w:r>
      <w:r w:rsidRPr="00965C1E">
        <w:rPr>
          <w:sz w:val="22"/>
          <w:lang w:val="en-US"/>
        </w:rPr>
        <w:t xml:space="preserve"> further study</w:t>
      </w:r>
      <w:r>
        <w:rPr>
          <w:sz w:val="22"/>
        </w:rPr>
        <w:t>.</w:t>
      </w:r>
    </w:p>
    <w:p w:rsidR="00A5074F" w:rsidRPr="00254FD7" w:rsidRDefault="00A5074F" w:rsidP="00A5074F">
      <w:pPr>
        <w:pStyle w:val="TableNoTitle0"/>
      </w:pPr>
      <w:r>
        <w:t>Table 3</w:t>
      </w:r>
      <w:r w:rsidRPr="00254FD7">
        <w:t xml:space="preserve"> – ePRTC phase/time holdover requirements</w:t>
      </w:r>
    </w:p>
    <w:tbl>
      <w:tblPr>
        <w:tblW w:w="96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811"/>
        <w:gridCol w:w="3690"/>
        <w:gridCol w:w="4140"/>
      </w:tblGrid>
      <w:tr w:rsidR="00A5074F" w:rsidTr="00A5074F">
        <w:trPr>
          <w:cantSplit/>
          <w:jc w:val="center"/>
        </w:trPr>
        <w:tc>
          <w:tcPr>
            <w:tcW w:w="1811" w:type="dxa"/>
            <w:tcBorders>
              <w:top w:val="nil"/>
              <w:left w:val="nil"/>
              <w:bottom w:val="single" w:sz="6" w:space="0" w:color="auto"/>
              <w:right w:val="single" w:sz="6" w:space="0" w:color="auto"/>
            </w:tcBorders>
          </w:tcPr>
          <w:p w:rsidR="00A5074F" w:rsidRDefault="00A5074F" w:rsidP="00A37DF9">
            <w:pPr>
              <w:pStyle w:val="Tablehead"/>
              <w:keepLines/>
            </w:pPr>
          </w:p>
        </w:tc>
        <w:tc>
          <w:tcPr>
            <w:tcW w:w="3690" w:type="dxa"/>
            <w:tcBorders>
              <w:top w:val="single" w:sz="6" w:space="0" w:color="auto"/>
              <w:left w:val="nil"/>
              <w:bottom w:val="nil"/>
              <w:right w:val="single" w:sz="6" w:space="0" w:color="auto"/>
            </w:tcBorders>
          </w:tcPr>
          <w:p w:rsidR="00A5074F" w:rsidRDefault="00A5074F" w:rsidP="00A37DF9">
            <w:pPr>
              <w:pStyle w:val="Tablehead"/>
              <w:keepLines/>
            </w:pPr>
            <w:r>
              <w:t xml:space="preserve">Time </w:t>
            </w:r>
            <w:r w:rsidRPr="00FE7384">
              <w:rPr>
                <w:i/>
              </w:rPr>
              <w:t>t</w:t>
            </w:r>
            <w:r>
              <w:t xml:space="preserve">  (s)</w:t>
            </w:r>
          </w:p>
        </w:tc>
        <w:tc>
          <w:tcPr>
            <w:tcW w:w="4140" w:type="dxa"/>
            <w:tcBorders>
              <w:top w:val="single" w:sz="6" w:space="0" w:color="auto"/>
              <w:left w:val="single" w:sz="6" w:space="0" w:color="auto"/>
              <w:bottom w:val="nil"/>
              <w:right w:val="single" w:sz="6" w:space="0" w:color="auto"/>
            </w:tcBorders>
          </w:tcPr>
          <w:p w:rsidR="00A5074F" w:rsidRDefault="00A5074F" w:rsidP="00A37DF9">
            <w:pPr>
              <w:pStyle w:val="Tablehead"/>
              <w:keepLines/>
            </w:pPr>
            <w:r>
              <w:t>Time Error Δ</w:t>
            </w:r>
            <w:r w:rsidRPr="00FE7384">
              <w:rPr>
                <w:i/>
              </w:rPr>
              <w:t>x</w:t>
            </w:r>
            <w:r>
              <w:t>(</w:t>
            </w:r>
            <w:r w:rsidRPr="00A72996">
              <w:rPr>
                <w:i/>
              </w:rPr>
              <w:t>t</w:t>
            </w:r>
            <w:r>
              <w:t>)  (ns)</w:t>
            </w:r>
          </w:p>
        </w:tc>
      </w:tr>
      <w:tr w:rsidR="00A5074F" w:rsidTr="00A5074F">
        <w:trPr>
          <w:cantSplit/>
          <w:jc w:val="center"/>
        </w:trPr>
        <w:tc>
          <w:tcPr>
            <w:tcW w:w="1811" w:type="dxa"/>
            <w:tcBorders>
              <w:top w:val="nil"/>
              <w:left w:val="single" w:sz="6" w:space="0" w:color="auto"/>
              <w:bottom w:val="single" w:sz="6" w:space="0" w:color="auto"/>
              <w:right w:val="single" w:sz="6" w:space="0" w:color="auto"/>
            </w:tcBorders>
          </w:tcPr>
          <w:p w:rsidR="00A5074F" w:rsidRDefault="00A5074F" w:rsidP="00A37DF9">
            <w:pPr>
              <w:pStyle w:val="Tabletext"/>
              <w:keepNext/>
              <w:keepLines/>
              <w:jc w:val="center"/>
            </w:pPr>
            <w:r>
              <w:t>ePRTC-A</w:t>
            </w:r>
          </w:p>
        </w:tc>
        <w:tc>
          <w:tcPr>
            <w:tcW w:w="3690" w:type="dxa"/>
            <w:tcBorders>
              <w:top w:val="single" w:sz="6" w:space="0" w:color="auto"/>
              <w:left w:val="single" w:sz="6" w:space="0" w:color="auto"/>
              <w:bottom w:val="single" w:sz="6" w:space="0" w:color="auto"/>
              <w:right w:val="single" w:sz="6" w:space="0" w:color="auto"/>
            </w:tcBorders>
          </w:tcPr>
          <w:p w:rsidR="00A5074F" w:rsidRDefault="00A5074F" w:rsidP="00A37DF9">
            <w:pPr>
              <w:pStyle w:val="Tabletext"/>
              <w:keepNext/>
              <w:keepLines/>
              <w:jc w:val="center"/>
            </w:pPr>
            <w:r>
              <w:t xml:space="preserve">0 &lt;  </w:t>
            </w:r>
            <w:r w:rsidRPr="00FE7384">
              <w:rPr>
                <w:i/>
              </w:rPr>
              <w:t>t</w:t>
            </w:r>
            <w:r>
              <w:t xml:space="preserve">  ≤  1 209 600 (14 days)</w:t>
            </w:r>
          </w:p>
        </w:tc>
        <w:tc>
          <w:tcPr>
            <w:tcW w:w="4140" w:type="dxa"/>
            <w:tcBorders>
              <w:top w:val="single" w:sz="6" w:space="0" w:color="auto"/>
              <w:left w:val="single" w:sz="6" w:space="0" w:color="auto"/>
              <w:bottom w:val="single" w:sz="6" w:space="0" w:color="auto"/>
              <w:right w:val="single" w:sz="6" w:space="0" w:color="auto"/>
            </w:tcBorders>
          </w:tcPr>
          <w:p w:rsidR="00A5074F" w:rsidRDefault="00A5074F" w:rsidP="00A37DF9">
            <w:pPr>
              <w:pStyle w:val="Tabletext"/>
              <w:keepNext/>
              <w:keepLines/>
              <w:jc w:val="center"/>
            </w:pPr>
            <w:r>
              <w:t>|Δ</w:t>
            </w:r>
            <w:r w:rsidRPr="00FE7384">
              <w:rPr>
                <w:i/>
              </w:rPr>
              <w:t>x</w:t>
            </w:r>
            <w:r>
              <w:t>(</w:t>
            </w:r>
            <w:r w:rsidRPr="00A72996">
              <w:rPr>
                <w:i/>
              </w:rPr>
              <w:t>t</w:t>
            </w:r>
            <w:r w:rsidR="0053156A">
              <w:t>)| ≤ 30 + 5.787037</w:t>
            </w:r>
            <w:r w:rsidR="0053156A">
              <w:sym w:font="Symbol" w:char="F0B4"/>
            </w:r>
            <w:r>
              <w:t>10</w:t>
            </w:r>
            <w:r w:rsidRPr="0082422D">
              <w:rPr>
                <w:vertAlign w:val="superscript"/>
              </w:rPr>
              <w:t>-5</w:t>
            </w:r>
            <w:r w:rsidRPr="0082422D">
              <w:rPr>
                <w:i/>
              </w:rPr>
              <w:t>t</w:t>
            </w:r>
          </w:p>
        </w:tc>
      </w:tr>
      <w:tr w:rsidR="00A5074F" w:rsidTr="00A5074F">
        <w:trPr>
          <w:cantSplit/>
          <w:jc w:val="center"/>
        </w:trPr>
        <w:tc>
          <w:tcPr>
            <w:tcW w:w="1811" w:type="dxa"/>
            <w:tcBorders>
              <w:top w:val="single" w:sz="6" w:space="0" w:color="auto"/>
              <w:left w:val="single" w:sz="6" w:space="0" w:color="auto"/>
              <w:bottom w:val="single" w:sz="6" w:space="0" w:color="auto"/>
              <w:right w:val="single" w:sz="6" w:space="0" w:color="auto"/>
            </w:tcBorders>
          </w:tcPr>
          <w:p w:rsidR="00A5074F" w:rsidRDefault="00A5074F" w:rsidP="00A37DF9">
            <w:pPr>
              <w:pStyle w:val="Tabletext"/>
              <w:keepNext/>
              <w:keepLines/>
              <w:jc w:val="center"/>
            </w:pPr>
            <w:r>
              <w:t>ePRTC-B</w:t>
            </w:r>
          </w:p>
        </w:tc>
        <w:tc>
          <w:tcPr>
            <w:tcW w:w="3690" w:type="dxa"/>
            <w:tcBorders>
              <w:top w:val="single" w:sz="6" w:space="0" w:color="auto"/>
              <w:left w:val="single" w:sz="6" w:space="0" w:color="auto"/>
              <w:bottom w:val="single" w:sz="6" w:space="0" w:color="auto"/>
              <w:right w:val="single" w:sz="6" w:space="0" w:color="auto"/>
            </w:tcBorders>
          </w:tcPr>
          <w:p w:rsidR="00A5074F" w:rsidRDefault="00A5074F" w:rsidP="00A37DF9">
            <w:pPr>
              <w:pStyle w:val="Tabletext"/>
              <w:keepNext/>
              <w:keepLines/>
              <w:jc w:val="center"/>
            </w:pPr>
            <w:r>
              <w:t>For further study</w:t>
            </w:r>
          </w:p>
        </w:tc>
        <w:tc>
          <w:tcPr>
            <w:tcW w:w="4140" w:type="dxa"/>
            <w:tcBorders>
              <w:top w:val="single" w:sz="6" w:space="0" w:color="auto"/>
              <w:left w:val="single" w:sz="6" w:space="0" w:color="auto"/>
              <w:bottom w:val="single" w:sz="6" w:space="0" w:color="auto"/>
              <w:right w:val="single" w:sz="6" w:space="0" w:color="auto"/>
            </w:tcBorders>
          </w:tcPr>
          <w:p w:rsidR="00A5074F" w:rsidRDefault="00A5074F" w:rsidP="00A37DF9">
            <w:pPr>
              <w:pStyle w:val="Tabletext"/>
              <w:keepNext/>
              <w:keepLines/>
              <w:jc w:val="center"/>
            </w:pPr>
            <w:r>
              <w:t>For further study</w:t>
            </w:r>
          </w:p>
        </w:tc>
      </w:tr>
      <w:tr w:rsidR="00A5074F" w:rsidTr="00A5074F">
        <w:trPr>
          <w:cantSplit/>
          <w:jc w:val="center"/>
        </w:trPr>
        <w:tc>
          <w:tcPr>
            <w:tcW w:w="9641" w:type="dxa"/>
            <w:gridSpan w:val="3"/>
            <w:tcBorders>
              <w:top w:val="single" w:sz="6" w:space="0" w:color="auto"/>
              <w:left w:val="single" w:sz="6" w:space="0" w:color="auto"/>
              <w:bottom w:val="single" w:sz="6" w:space="0" w:color="auto"/>
              <w:right w:val="single" w:sz="6" w:space="0" w:color="auto"/>
            </w:tcBorders>
          </w:tcPr>
          <w:p w:rsidR="00A5074F" w:rsidRDefault="00A5074F" w:rsidP="00A37DF9">
            <w:pPr>
              <w:pStyle w:val="Tabletext"/>
              <w:keepNext/>
              <w:keepLines/>
              <w:rPr>
                <w:color w:val="000000"/>
              </w:rPr>
            </w:pPr>
            <w:r>
              <w:rPr>
                <w:color w:val="000000"/>
              </w:rPr>
              <w:t xml:space="preserve">Note: </w:t>
            </w:r>
            <w:r w:rsidRPr="00FE7384">
              <w:rPr>
                <w:i/>
                <w:color w:val="000000"/>
              </w:rPr>
              <w:t>t</w:t>
            </w:r>
            <w:r>
              <w:rPr>
                <w:color w:val="000000"/>
              </w:rPr>
              <w:t>=0 represents the start of holdover</w:t>
            </w:r>
          </w:p>
        </w:tc>
      </w:tr>
    </w:tbl>
    <w:p w:rsidR="00A5074F" w:rsidRDefault="00A5074F" w:rsidP="001B51D2">
      <w:pPr>
        <w:rPr>
          <w:sz w:val="22"/>
        </w:rPr>
      </w:pPr>
    </w:p>
    <w:p w:rsidR="0030415E" w:rsidRDefault="005A0EFC" w:rsidP="001B51D2">
      <w:pPr>
        <w:rPr>
          <w:sz w:val="22"/>
        </w:rPr>
      </w:pPr>
      <w:r>
        <w:rPr>
          <w:noProof/>
          <w:sz w:val="22"/>
          <w:lang w:eastAsia="zh-CN"/>
        </w:rPr>
        <w:drawing>
          <wp:inline distT="0" distB="0" distL="0" distR="0">
            <wp:extent cx="5610225" cy="307320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0225" cy="3073200"/>
                    </a:xfrm>
                    <a:prstGeom prst="rect">
                      <a:avLst/>
                    </a:prstGeom>
                    <a:noFill/>
                    <a:ln>
                      <a:noFill/>
                    </a:ln>
                  </pic:spPr>
                </pic:pic>
              </a:graphicData>
            </a:graphic>
          </wp:inline>
        </w:drawing>
      </w:r>
    </w:p>
    <w:p w:rsidR="0030415E" w:rsidRPr="00CA4ECE" w:rsidRDefault="0030415E" w:rsidP="0030415E">
      <w:pPr>
        <w:pStyle w:val="FigureNoTitle0"/>
        <w:keepNext/>
      </w:pPr>
      <w:r>
        <w:t>Figure 3</w:t>
      </w:r>
      <w:r w:rsidRPr="00CA4ECE">
        <w:t xml:space="preserve"> – </w:t>
      </w:r>
      <w:r w:rsidRPr="00254FD7">
        <w:t>ePRTC</w:t>
      </w:r>
      <w:r>
        <w:t>-A</w:t>
      </w:r>
      <w:r w:rsidRPr="00254FD7">
        <w:t xml:space="preserve"> phase/time holdover requirements</w:t>
      </w:r>
    </w:p>
    <w:p w:rsidR="0030415E" w:rsidRPr="00830E25" w:rsidRDefault="0030415E" w:rsidP="001B51D2"/>
    <w:p w:rsidR="0098469F" w:rsidRDefault="001B51D2" w:rsidP="0098469F">
      <w:pPr>
        <w:rPr>
          <w:sz w:val="22"/>
        </w:rPr>
      </w:pPr>
      <w:r w:rsidRPr="00C466AD">
        <w:rPr>
          <w:sz w:val="22"/>
        </w:rPr>
        <w:t xml:space="preserve">NOTE: Additional background information on these ePRTC holdover requirements is included in Appendix </w:t>
      </w:r>
      <w:r w:rsidR="00582E04">
        <w:rPr>
          <w:sz w:val="22"/>
        </w:rPr>
        <w:t>II</w:t>
      </w:r>
      <w:r w:rsidRPr="00C466AD">
        <w:rPr>
          <w:sz w:val="22"/>
        </w:rPr>
        <w:t xml:space="preserve"> of this Recommendation.</w:t>
      </w:r>
    </w:p>
    <w:p w:rsidR="0098469F" w:rsidRPr="00CA4ECE" w:rsidRDefault="00E02F3E" w:rsidP="0098469F">
      <w:pPr>
        <w:pStyle w:val="Heading1"/>
      </w:pPr>
      <w:bookmarkStart w:id="46" w:name="_Toc341944227"/>
      <w:bookmarkStart w:id="47" w:name="_Toc350520284"/>
      <w:bookmarkStart w:id="48" w:name="_Toc350841672"/>
      <w:bookmarkStart w:id="49" w:name="_Toc353445187"/>
      <w:r>
        <w:t>9</w:t>
      </w:r>
      <w:r w:rsidR="0098469F">
        <w:tab/>
      </w:r>
      <w:r w:rsidR="0098469F" w:rsidRPr="00CA4ECE">
        <w:t>Interfaces</w:t>
      </w:r>
      <w:bookmarkEnd w:id="46"/>
      <w:bookmarkEnd w:id="47"/>
      <w:bookmarkEnd w:id="48"/>
      <w:bookmarkEnd w:id="49"/>
    </w:p>
    <w:p w:rsidR="00911BA0" w:rsidRPr="00D34D89" w:rsidRDefault="00911BA0" w:rsidP="00911BA0">
      <w:r w:rsidRPr="00D34D89">
        <w:t>The requirements in this Recommendation are related to reference points that may be internal to the equipment or network equipment (NE) in which the ePRTC is embedded and are, therefore, not necessarily available for measurement or analysis by the user. Consequently, the performance of the ePRTC is not specified at these internal reference points, but rather at the external interfaces of the equipment.</w:t>
      </w:r>
    </w:p>
    <w:p w:rsidR="00911BA0" w:rsidRPr="00D34D89" w:rsidRDefault="00911BA0" w:rsidP="00911BA0">
      <w:r w:rsidRPr="00D34D89">
        <w:t>Note that not all of the interfaces below need to be implemented on all equipment.</w:t>
      </w:r>
    </w:p>
    <w:p w:rsidR="0098469F" w:rsidRPr="00CA4ECE" w:rsidRDefault="00E02F3E" w:rsidP="0098469F">
      <w:pPr>
        <w:pStyle w:val="Heading2"/>
      </w:pPr>
      <w:bookmarkStart w:id="50" w:name="_Toc341944228"/>
      <w:bookmarkStart w:id="51" w:name="_Toc350520285"/>
      <w:bookmarkStart w:id="52" w:name="_Toc350841673"/>
      <w:bookmarkStart w:id="53" w:name="_Toc353445188"/>
      <w:r>
        <w:t>9</w:t>
      </w:r>
      <w:r w:rsidR="0098469F">
        <w:t>.1</w:t>
      </w:r>
      <w:r w:rsidR="0098469F">
        <w:tab/>
      </w:r>
      <w:r w:rsidR="0098469F" w:rsidRPr="00CA4ECE">
        <w:t xml:space="preserve">Phase and </w:t>
      </w:r>
      <w:r w:rsidR="0098469F">
        <w:t>t</w:t>
      </w:r>
      <w:r w:rsidR="0098469F" w:rsidRPr="00CA4ECE">
        <w:t>ime interfaces</w:t>
      </w:r>
      <w:bookmarkEnd w:id="50"/>
      <w:bookmarkEnd w:id="51"/>
      <w:bookmarkEnd w:id="52"/>
      <w:bookmarkEnd w:id="53"/>
      <w:r w:rsidR="0098469F" w:rsidRPr="00CA4ECE">
        <w:t xml:space="preserve"> </w:t>
      </w:r>
    </w:p>
    <w:p w:rsidR="00911BA0" w:rsidRPr="00D34D89" w:rsidRDefault="00911BA0" w:rsidP="00911BA0">
      <w:r w:rsidRPr="00D34D89">
        <w:t>The output phase and time interfaces specified for the equipment in which the ePRTC may be contained are:</w:t>
      </w:r>
    </w:p>
    <w:p w:rsidR="00911BA0" w:rsidRDefault="00911BA0" w:rsidP="00911BA0">
      <w:pPr>
        <w:pStyle w:val="enumlev1"/>
      </w:pPr>
      <w:r w:rsidRPr="00D34D89">
        <w:t>–</w:t>
      </w:r>
      <w:r w:rsidRPr="00D34D89">
        <w:tab/>
      </w:r>
      <w:r w:rsidR="000A586F" w:rsidRPr="000A586F">
        <w:t>ITU-T V.11-based time/phase distribution interface, as defined in [ITU-T G.703] and [ITU</w:t>
      </w:r>
      <w:r w:rsidR="000A586F" w:rsidRPr="000A586F">
        <w:noBreakHyphen/>
        <w:t>T G.8271];</w:t>
      </w:r>
    </w:p>
    <w:p w:rsidR="000114FF" w:rsidRDefault="000114FF" w:rsidP="000114FF">
      <w:pPr>
        <w:ind w:left="794"/>
      </w:pPr>
      <w:r>
        <w:t>For the ePRTC V.11-based time/phase distribution interface, it is necessary to limit cable length to 5 m or less and a high quality cable should be used. The following requirements apply:</w:t>
      </w:r>
    </w:p>
    <w:p w:rsidR="000114FF" w:rsidRPr="00427FE5" w:rsidRDefault="00685D46" w:rsidP="00685D46">
      <w:pPr>
        <w:pStyle w:val="ListParagraph"/>
        <w:numPr>
          <w:ilvl w:val="0"/>
          <w:numId w:val="0"/>
        </w:numPr>
        <w:tabs>
          <w:tab w:val="left" w:pos="794"/>
          <w:tab w:val="left" w:pos="1191"/>
          <w:tab w:val="left" w:pos="1588"/>
          <w:tab w:val="left" w:pos="1985"/>
        </w:tabs>
        <w:overflowPunct w:val="0"/>
        <w:autoSpaceDE w:val="0"/>
        <w:autoSpaceDN w:val="0"/>
        <w:adjustRightInd w:val="0"/>
        <w:ind w:left="1191"/>
        <w:jc w:val="both"/>
        <w:textAlignment w:val="baseline"/>
        <w:rPr>
          <w:lang w:val="en-US"/>
        </w:rPr>
      </w:pPr>
      <w:r w:rsidRPr="00685D46">
        <w:rPr>
          <w:lang w:val="en-US"/>
        </w:rPr>
        <w:t>–</w:t>
      </w:r>
      <w:r w:rsidRPr="00685D46">
        <w:rPr>
          <w:lang w:val="en-US"/>
        </w:rPr>
        <w:tab/>
      </w:r>
      <w:r w:rsidR="000A586F" w:rsidRPr="00427FE5">
        <w:rPr>
          <w:lang w:val="en-US"/>
        </w:rPr>
        <w:t>The 1</w:t>
      </w:r>
      <w:r w:rsidR="00965C1E">
        <w:rPr>
          <w:lang w:val="en-US"/>
        </w:rPr>
        <w:t xml:space="preserve"> </w:t>
      </w:r>
      <w:r w:rsidR="000A586F" w:rsidRPr="00427FE5">
        <w:rPr>
          <w:lang w:val="en-US"/>
        </w:rPr>
        <w:t>PPS signal generation accuracy of the timing master tolerance is ±4 ns</w:t>
      </w:r>
    </w:p>
    <w:p w:rsidR="000114FF" w:rsidRPr="00685D46" w:rsidRDefault="00685D46" w:rsidP="00685D46">
      <w:pPr>
        <w:ind w:left="1154"/>
        <w:jc w:val="both"/>
        <w:rPr>
          <w:lang w:val="en-US"/>
        </w:rPr>
      </w:pPr>
      <w:r w:rsidRPr="00D34D89">
        <w:t>–</w:t>
      </w:r>
      <w:r w:rsidRPr="00D34D89">
        <w:tab/>
      </w:r>
      <w:r w:rsidR="000A586F" w:rsidRPr="00685D46">
        <w:rPr>
          <w:lang w:val="en-US"/>
        </w:rPr>
        <w:t>The cable delay compensation accuracy tolerance is ±2 ns</w:t>
      </w:r>
    </w:p>
    <w:p w:rsidR="000114FF" w:rsidRPr="00685D46" w:rsidRDefault="00685D46" w:rsidP="00685D46">
      <w:pPr>
        <w:ind w:left="1154"/>
        <w:jc w:val="both"/>
        <w:rPr>
          <w:lang w:val="en-US"/>
        </w:rPr>
      </w:pPr>
      <w:r w:rsidRPr="00D34D89">
        <w:t>–</w:t>
      </w:r>
      <w:r w:rsidRPr="00D34D89">
        <w:tab/>
      </w:r>
      <w:r w:rsidR="000A586F" w:rsidRPr="00685D46">
        <w:rPr>
          <w:lang w:val="en-US"/>
        </w:rPr>
        <w:t>The 1</w:t>
      </w:r>
      <w:r w:rsidR="00965C1E">
        <w:rPr>
          <w:lang w:val="en-US"/>
        </w:rPr>
        <w:t xml:space="preserve"> </w:t>
      </w:r>
      <w:r w:rsidR="000A586F" w:rsidRPr="00685D46">
        <w:rPr>
          <w:lang w:val="en-US"/>
        </w:rPr>
        <w:t>PPS signal detection accuracy at the slave tolerance is ±4 ns</w:t>
      </w:r>
    </w:p>
    <w:p w:rsidR="00911BA0" w:rsidRPr="00D34D89" w:rsidRDefault="00911BA0" w:rsidP="00911BA0">
      <w:pPr>
        <w:pStyle w:val="enumlev1"/>
      </w:pPr>
      <w:r w:rsidRPr="00D34D89">
        <w:t>–</w:t>
      </w:r>
      <w:r w:rsidRPr="00D34D89">
        <w:tab/>
        <w:t>1</w:t>
      </w:r>
      <w:r w:rsidR="00965C1E">
        <w:t xml:space="preserve"> </w:t>
      </w:r>
      <w:r w:rsidRPr="00D34D89">
        <w:t>PPS 50 Ω phase-synchronization measurement interface, as defined in [ITU-T G.703] and [ITU</w:t>
      </w:r>
      <w:r w:rsidRPr="00D34D89">
        <w:noBreakHyphen/>
        <w:t>T G.8271];</w:t>
      </w:r>
    </w:p>
    <w:p w:rsidR="0012471E" w:rsidRPr="0012471E" w:rsidRDefault="00911BA0" w:rsidP="00427FE5">
      <w:pPr>
        <w:pStyle w:val="enumlev1"/>
      </w:pPr>
      <w:r w:rsidRPr="00D34D89">
        <w:t>–</w:t>
      </w:r>
      <w:r w:rsidRPr="00D34D89">
        <w:tab/>
        <w:t>other interfaces are for further study;</w:t>
      </w:r>
    </w:p>
    <w:p w:rsidR="0098469F" w:rsidRPr="00CA4ECE" w:rsidRDefault="00E02F3E" w:rsidP="0098469F">
      <w:pPr>
        <w:pStyle w:val="Heading2"/>
      </w:pPr>
      <w:bookmarkStart w:id="54" w:name="_Toc341944229"/>
      <w:bookmarkStart w:id="55" w:name="_Toc350520286"/>
      <w:bookmarkStart w:id="56" w:name="_Toc350841674"/>
      <w:bookmarkStart w:id="57" w:name="_Toc353445189"/>
      <w:r>
        <w:t>9</w:t>
      </w:r>
      <w:r w:rsidR="0098469F">
        <w:t>.2</w:t>
      </w:r>
      <w:r w:rsidR="0098469F">
        <w:tab/>
      </w:r>
      <w:r w:rsidR="0098469F" w:rsidRPr="00CA4ECE">
        <w:t>Frequency interfaces</w:t>
      </w:r>
      <w:bookmarkEnd w:id="54"/>
      <w:bookmarkEnd w:id="55"/>
      <w:bookmarkEnd w:id="56"/>
      <w:bookmarkEnd w:id="57"/>
    </w:p>
    <w:p w:rsidR="00911BA0" w:rsidRPr="00D34D89" w:rsidRDefault="00911BA0" w:rsidP="00911BA0">
      <w:r w:rsidRPr="00D34D89">
        <w:t xml:space="preserve">In addition to phase and time interfaces, frequency </w:t>
      </w:r>
      <w:r w:rsidR="00EF32CA">
        <w:t xml:space="preserve">interfaces </w:t>
      </w:r>
      <w:r w:rsidR="000A586F" w:rsidRPr="000A586F">
        <w:t>are</w:t>
      </w:r>
      <w:r w:rsidRPr="00D34D89">
        <w:t xml:space="preserve"> used.</w:t>
      </w:r>
    </w:p>
    <w:p w:rsidR="00911BA0" w:rsidRPr="00D61E72" w:rsidRDefault="00911BA0" w:rsidP="00911BA0">
      <w:pPr>
        <w:rPr>
          <w:b/>
        </w:rPr>
      </w:pPr>
      <w:r w:rsidRPr="00D61E72">
        <w:rPr>
          <w:b/>
        </w:rPr>
        <w:t>9.2.1</w:t>
      </w:r>
      <w:r w:rsidRPr="00D61E72">
        <w:rPr>
          <w:b/>
        </w:rPr>
        <w:tab/>
        <w:t xml:space="preserve"> Inputs</w:t>
      </w:r>
    </w:p>
    <w:p w:rsidR="00911BA0" w:rsidRPr="00D34D89" w:rsidRDefault="00911BA0" w:rsidP="00911BA0">
      <w:r w:rsidRPr="00D34D89">
        <w:t xml:space="preserve">At least one </w:t>
      </w:r>
      <w:r>
        <w:t>input</w:t>
      </w:r>
      <w:r w:rsidRPr="00D34D89">
        <w:t xml:space="preserve"> frequency interface must be provided</w:t>
      </w:r>
      <w:r w:rsidR="0052131F">
        <w:t xml:space="preserve"> from </w:t>
      </w:r>
      <w:r w:rsidR="00223C10">
        <w:t>an</w:t>
      </w:r>
      <w:r w:rsidR="0052131F">
        <w:t xml:space="preserve"> autonomous primary reference clock</w:t>
      </w:r>
      <w:r w:rsidRPr="00D34D89">
        <w:t xml:space="preserve">. The </w:t>
      </w:r>
      <w:r>
        <w:t xml:space="preserve">input </w:t>
      </w:r>
      <w:r w:rsidRPr="00D34D89">
        <w:t>frequency interfaces specified for the equipment in which the ePRTC may be contained are:</w:t>
      </w:r>
    </w:p>
    <w:p w:rsidR="00911BA0" w:rsidRPr="00427FE5" w:rsidRDefault="00911BA0" w:rsidP="00911BA0">
      <w:pPr>
        <w:pStyle w:val="enumlev1"/>
      </w:pPr>
      <w:r w:rsidRPr="00D34D89">
        <w:t>–</w:t>
      </w:r>
      <w:r w:rsidRPr="00D34D89">
        <w:tab/>
        <w:t>2 048 kHz interfaces according to [ITU-T G.703</w:t>
      </w:r>
      <w:r w:rsidRPr="00427FE5">
        <w:t>]</w:t>
      </w:r>
      <w:r w:rsidR="0052131F" w:rsidRPr="0052131F">
        <w:t xml:space="preserve"> </w:t>
      </w:r>
      <w:r w:rsidR="0052131F" w:rsidRPr="0008590B">
        <w:t>with additional jitter and wander requirements as specified herein</w:t>
      </w:r>
      <w:r w:rsidR="0052131F">
        <w:t xml:space="preserve"> (see Note)</w:t>
      </w:r>
      <w:r w:rsidR="0052131F" w:rsidRPr="0008590B">
        <w:t>;</w:t>
      </w:r>
    </w:p>
    <w:p w:rsidR="0052131F" w:rsidRDefault="00911BA0" w:rsidP="0052131F">
      <w:pPr>
        <w:pStyle w:val="enumlev1"/>
      </w:pPr>
      <w:r w:rsidRPr="00427FE5">
        <w:t>–</w:t>
      </w:r>
      <w:r w:rsidRPr="00427FE5">
        <w:tab/>
        <w:t>2 048 kbit/s interfaces according to [ITU-T G.703]</w:t>
      </w:r>
      <w:r w:rsidR="0052131F">
        <w:t xml:space="preserve"> </w:t>
      </w:r>
      <w:r w:rsidR="0052131F" w:rsidRPr="0008590B">
        <w:t>with additional jitter and wander requirements as specified herein</w:t>
      </w:r>
      <w:r w:rsidR="0052131F">
        <w:t xml:space="preserve"> (see Note)</w:t>
      </w:r>
      <w:r w:rsidR="0052131F" w:rsidRPr="0008590B">
        <w:t>;</w:t>
      </w:r>
    </w:p>
    <w:p w:rsidR="00911BA0" w:rsidRPr="00D34D89" w:rsidRDefault="00911BA0" w:rsidP="00911BA0">
      <w:pPr>
        <w:pStyle w:val="enumlev1"/>
      </w:pPr>
      <w:r w:rsidRPr="00D34D89">
        <w:t>–</w:t>
      </w:r>
      <w:r w:rsidRPr="00D34D89">
        <w:tab/>
      </w:r>
      <w:r w:rsidRPr="00801DB0">
        <w:t>10 MHz interfaces according to [ITU-T G.703]</w:t>
      </w:r>
      <w:r w:rsidRPr="006701F9">
        <w:t xml:space="preserve"> </w:t>
      </w:r>
      <w:r w:rsidR="0012471E" w:rsidRPr="0008590B">
        <w:t>with additional jitter and wander requirements as specified herein;</w:t>
      </w:r>
    </w:p>
    <w:p w:rsidR="00911BA0" w:rsidRDefault="00911BA0" w:rsidP="00911BA0">
      <w:pPr>
        <w:pStyle w:val="enumlev1"/>
      </w:pPr>
      <w:r w:rsidRPr="00D34D89">
        <w:t>–</w:t>
      </w:r>
      <w:r w:rsidRPr="00D34D89">
        <w:tab/>
        <w:t>other interfaces are for further study.</w:t>
      </w:r>
    </w:p>
    <w:p w:rsidR="0012706D" w:rsidRDefault="0012706D" w:rsidP="0012706D">
      <w:r>
        <w:t>Performance requirements of the autonomous primary reference clock are given in Annex A of this document.</w:t>
      </w:r>
    </w:p>
    <w:p w:rsidR="00801DB0" w:rsidRDefault="00801DB0" w:rsidP="00801DB0">
      <w:r>
        <w:t xml:space="preserve">Note: The requirements for jitter </w:t>
      </w:r>
      <w:r w:rsidRPr="0008590B">
        <w:t>for the 2 048 kHz and 2 048 kbit/s interfaces</w:t>
      </w:r>
      <w:r>
        <w:t xml:space="preserve"> need to be tighter than what is defined in [</w:t>
      </w:r>
      <w:r w:rsidR="00541C87">
        <w:t xml:space="preserve">ITU-T G.703] and [ITU-T G.811] </w:t>
      </w:r>
      <w:r>
        <w:t>to meet the ePRTC requirements. The exact values are for further study.</w:t>
      </w:r>
    </w:p>
    <w:p w:rsidR="00911BA0" w:rsidRPr="00D61E72" w:rsidRDefault="00911BA0" w:rsidP="00911BA0">
      <w:pPr>
        <w:rPr>
          <w:b/>
        </w:rPr>
      </w:pPr>
      <w:r w:rsidRPr="00D61E72">
        <w:rPr>
          <w:b/>
        </w:rPr>
        <w:t>9.2.2</w:t>
      </w:r>
      <w:r w:rsidRPr="00D61E72">
        <w:rPr>
          <w:b/>
        </w:rPr>
        <w:tab/>
        <w:t xml:space="preserve"> Outputs</w:t>
      </w:r>
    </w:p>
    <w:p w:rsidR="00911BA0" w:rsidRPr="00D34D89" w:rsidRDefault="00911BA0" w:rsidP="00911BA0">
      <w:r w:rsidRPr="00D34D89">
        <w:t>At least one output frequency interface must be provided. The output frequency interfaces specified for the equipment in which the ePRTC may be contained are:</w:t>
      </w:r>
    </w:p>
    <w:p w:rsidR="00911BA0" w:rsidRPr="00D34D89" w:rsidRDefault="00911BA0" w:rsidP="00911BA0">
      <w:pPr>
        <w:pStyle w:val="enumlev1"/>
      </w:pPr>
      <w:r w:rsidRPr="00D34D89">
        <w:t>–</w:t>
      </w:r>
      <w:r w:rsidRPr="00D34D89">
        <w:tab/>
        <w:t>2 048 kHz interfaces according to [ITU-T G.703] with additional jitter and wander requirements as specified herein;</w:t>
      </w:r>
    </w:p>
    <w:p w:rsidR="00911BA0" w:rsidRPr="00D34D89" w:rsidRDefault="00911BA0" w:rsidP="00911BA0">
      <w:pPr>
        <w:pStyle w:val="enumlev1"/>
      </w:pPr>
      <w:r w:rsidRPr="00D34D89">
        <w:t>–</w:t>
      </w:r>
      <w:r w:rsidRPr="00D34D89">
        <w:tab/>
        <w:t>1 544 kbit/s interfaces according to [ITU-T G.703] with additional jitter and wander requirements as specified herein;</w:t>
      </w:r>
    </w:p>
    <w:p w:rsidR="00911BA0" w:rsidRPr="00D34D89" w:rsidRDefault="00911BA0" w:rsidP="00911BA0">
      <w:pPr>
        <w:pStyle w:val="enumlev1"/>
      </w:pPr>
      <w:r w:rsidRPr="00D34D89">
        <w:t>–</w:t>
      </w:r>
      <w:r w:rsidRPr="00D34D89">
        <w:tab/>
        <w:t>2 048 kbit/s interfaces according to [ITU-T G.703] with additional jitter and wander requirements as specified herein;</w:t>
      </w:r>
    </w:p>
    <w:p w:rsidR="00911BA0" w:rsidRPr="00D34D89" w:rsidRDefault="00911BA0" w:rsidP="00911BA0">
      <w:pPr>
        <w:pStyle w:val="enumlev1"/>
      </w:pPr>
      <w:r w:rsidRPr="00D34D89">
        <w:t>–</w:t>
      </w:r>
      <w:r w:rsidRPr="00D34D89">
        <w:tab/>
        <w:t>synchronous Ethernet interfaces;</w:t>
      </w:r>
    </w:p>
    <w:p w:rsidR="00911BA0" w:rsidRPr="00D34D89" w:rsidRDefault="00911BA0" w:rsidP="00911BA0">
      <w:pPr>
        <w:pStyle w:val="enumlev1"/>
      </w:pPr>
      <w:r w:rsidRPr="00D34D89">
        <w:t>–</w:t>
      </w:r>
      <w:r w:rsidRPr="00D34D89">
        <w:tab/>
        <w:t>ITU-T V.11-based time/phase distribution interface, as defined in [ITU-T G.703] and [ITU</w:t>
      </w:r>
      <w:r w:rsidRPr="00D34D89">
        <w:noBreakHyphen/>
        <w:t>T G.8271];</w:t>
      </w:r>
    </w:p>
    <w:p w:rsidR="00911BA0" w:rsidRPr="00D34D89" w:rsidRDefault="00911BA0" w:rsidP="00911BA0">
      <w:pPr>
        <w:pStyle w:val="enumlev1"/>
      </w:pPr>
      <w:r w:rsidRPr="00D34D89">
        <w:t>–</w:t>
      </w:r>
      <w:r w:rsidRPr="00D34D89">
        <w:tab/>
        <w:t>1</w:t>
      </w:r>
      <w:r w:rsidR="00965C1E">
        <w:t xml:space="preserve"> </w:t>
      </w:r>
      <w:r w:rsidRPr="00D34D89">
        <w:t>PPS 50 Ω phase-synchronization measurement interface, as defined in [ITU-T G.703] and [ITU-T G.8271];</w:t>
      </w:r>
    </w:p>
    <w:p w:rsidR="00911BA0" w:rsidRDefault="00911BA0" w:rsidP="00911BA0">
      <w:pPr>
        <w:pStyle w:val="enumlev1"/>
      </w:pPr>
      <w:r w:rsidRPr="00D34D89">
        <w:rPr>
          <w:sz w:val="22"/>
        </w:rPr>
        <w:t xml:space="preserve">– </w:t>
      </w:r>
      <w:r w:rsidRPr="00D34D89">
        <w:rPr>
          <w:sz w:val="22"/>
        </w:rPr>
        <w:tab/>
        <w:t>10 MHz interfaces according to [ITU-T G.703];</w:t>
      </w:r>
      <w:r>
        <w:rPr>
          <w:sz w:val="22"/>
        </w:rPr>
        <w:t xml:space="preserve"> </w:t>
      </w:r>
      <w:r w:rsidRPr="00D34D89">
        <w:t>with additional jitter and wander requirements as specified herein;</w:t>
      </w:r>
    </w:p>
    <w:p w:rsidR="00911BA0" w:rsidRPr="00D34D89" w:rsidRDefault="00911BA0" w:rsidP="00911BA0">
      <w:pPr>
        <w:pStyle w:val="enumlev1"/>
      </w:pPr>
      <w:r w:rsidRPr="00D34D89">
        <w:t>–</w:t>
      </w:r>
      <w:r w:rsidRPr="00D34D89">
        <w:tab/>
        <w:t>other interfaces are for further study.</w:t>
      </w:r>
    </w:p>
    <w:p w:rsidR="0073102D" w:rsidRDefault="0073102D" w:rsidP="00205C06">
      <w:pPr>
        <w:pStyle w:val="AppendixNoTitle0"/>
        <w:pageBreakBefore/>
      </w:pPr>
      <w:bookmarkStart w:id="58" w:name="_Toc412551114"/>
      <w:bookmarkStart w:id="59" w:name="_Toc418150417"/>
      <w:bookmarkStart w:id="60" w:name="_Toc420309236"/>
      <w:r w:rsidRPr="00FF1FA4">
        <w:t>Annex A</w:t>
      </w:r>
    </w:p>
    <w:p w:rsidR="0073102D" w:rsidRDefault="0012706D" w:rsidP="0073102D">
      <w:pPr>
        <w:pStyle w:val="Normalaftertitle"/>
        <w:jc w:val="center"/>
        <w:rPr>
          <w:b/>
          <w:sz w:val="28"/>
        </w:rPr>
      </w:pPr>
      <w:r w:rsidRPr="0012706D">
        <w:rPr>
          <w:b/>
          <w:sz w:val="28"/>
        </w:rPr>
        <w:t>ePRTC autonomous primary reference clock requirements</w:t>
      </w:r>
    </w:p>
    <w:p w:rsidR="0073102D" w:rsidRDefault="0073102D" w:rsidP="0073102D">
      <w:pPr>
        <w:jc w:val="center"/>
      </w:pPr>
      <w:r w:rsidRPr="00FF1FA4">
        <w:t>(This annex forms an integral part of this Recommendation.)</w:t>
      </w:r>
    </w:p>
    <w:p w:rsidR="0012706D" w:rsidRDefault="0012706D" w:rsidP="0012706D">
      <w:r>
        <w:t>The wander on a frequency interface from the autonomous primary reference clock, expressed in TDEV, measured</w:t>
      </w:r>
      <w:r w:rsidRPr="00B65BE1">
        <w:t xml:space="preserve"> using the independent clock configuration defined in Figure 2a/G.810 should have the limits</w:t>
      </w:r>
      <w:r w:rsidR="00994CDE">
        <w:t xml:space="preserve"> in Table A.1 and shown in Figure A.1</w:t>
      </w:r>
      <w:r w:rsidRPr="00B65BE1">
        <w:t>:</w:t>
      </w:r>
    </w:p>
    <w:p w:rsidR="0012706D" w:rsidRDefault="0012706D" w:rsidP="0012706D">
      <w:pPr>
        <w:pStyle w:val="TableNoTitle0"/>
      </w:pPr>
      <w:r w:rsidRPr="00CA4ECE">
        <w:t xml:space="preserve">Table </w:t>
      </w:r>
      <w:r>
        <w:t>A.1 – Wander generation (TDEV</w:t>
      </w:r>
      <w:r w:rsidRPr="00CA4ECE">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6"/>
        <w:gridCol w:w="4703"/>
      </w:tblGrid>
      <w:tr w:rsidR="0012706D" w:rsidRPr="00DC17F4" w:rsidTr="00A37DF9">
        <w:trPr>
          <w:cantSplit/>
          <w:jc w:val="center"/>
        </w:trPr>
        <w:tc>
          <w:tcPr>
            <w:tcW w:w="4936" w:type="dxa"/>
            <w:shd w:val="clear" w:color="auto" w:fill="auto"/>
          </w:tcPr>
          <w:p w:rsidR="0012706D" w:rsidRPr="00DC17F4" w:rsidRDefault="0012706D" w:rsidP="00A37DF9">
            <w:pPr>
              <w:pStyle w:val="Tablehead"/>
            </w:pPr>
            <w:r>
              <w:t>TDEV limit [n</w:t>
            </w:r>
            <w:r w:rsidRPr="00DC17F4">
              <w:t>s]</w:t>
            </w:r>
          </w:p>
        </w:tc>
        <w:tc>
          <w:tcPr>
            <w:tcW w:w="4703" w:type="dxa"/>
            <w:shd w:val="clear" w:color="auto" w:fill="auto"/>
          </w:tcPr>
          <w:p w:rsidR="0012706D" w:rsidRPr="00DC17F4" w:rsidRDefault="0012706D" w:rsidP="00A37DF9">
            <w:pPr>
              <w:pStyle w:val="Tablehead"/>
            </w:pPr>
            <w:r w:rsidRPr="00DC17F4">
              <w:t>Observation interval τ [s]</w:t>
            </w:r>
          </w:p>
        </w:tc>
      </w:tr>
      <w:tr w:rsidR="0012706D" w:rsidRPr="00DC17F4" w:rsidTr="00A37DF9">
        <w:trPr>
          <w:cantSplit/>
          <w:jc w:val="center"/>
        </w:trPr>
        <w:tc>
          <w:tcPr>
            <w:tcW w:w="4936" w:type="dxa"/>
            <w:shd w:val="clear" w:color="auto" w:fill="auto"/>
          </w:tcPr>
          <w:p w:rsidR="0012706D" w:rsidRDefault="0012706D" w:rsidP="00A37DF9">
            <w:pPr>
              <w:pStyle w:val="Tabletext"/>
              <w:jc w:val="center"/>
            </w:pPr>
            <w:r>
              <w:t>1</w:t>
            </w:r>
          </w:p>
        </w:tc>
        <w:tc>
          <w:tcPr>
            <w:tcW w:w="4703" w:type="dxa"/>
            <w:shd w:val="clear" w:color="auto" w:fill="auto"/>
          </w:tcPr>
          <w:p w:rsidR="0012706D" w:rsidRDefault="0012706D" w:rsidP="00A37DF9">
            <w:pPr>
              <w:pStyle w:val="Tabletext"/>
              <w:jc w:val="center"/>
            </w:pPr>
            <w:r>
              <w:t xml:space="preserve">0.1 </w:t>
            </w:r>
            <w:r w:rsidRPr="00DC17F4">
              <w:t xml:space="preserve">&lt; </w:t>
            </w:r>
            <w:r w:rsidRPr="00DC17F4">
              <w:rPr>
                <w:szCs w:val="22"/>
              </w:rPr>
              <w:sym w:font="Symbol" w:char="F074"/>
            </w:r>
            <w:r>
              <w:rPr>
                <w:szCs w:val="22"/>
              </w:rPr>
              <w:t xml:space="preserve"> </w:t>
            </w:r>
            <w:r w:rsidRPr="00DC17F4">
              <w:rPr>
                <w:szCs w:val="22"/>
              </w:rPr>
              <w:t>≤</w:t>
            </w:r>
            <w:r>
              <w:rPr>
                <w:szCs w:val="22"/>
              </w:rPr>
              <w:t xml:space="preserve"> 10 000</w:t>
            </w:r>
          </w:p>
        </w:tc>
      </w:tr>
    </w:tbl>
    <w:p w:rsidR="0012706D" w:rsidRDefault="005A0EFC" w:rsidP="0012706D">
      <w:r>
        <w:rPr>
          <w:noProof/>
          <w:lang w:eastAsia="zh-CN"/>
        </w:rPr>
        <w:drawing>
          <wp:inline distT="0" distB="0" distL="0" distR="0">
            <wp:extent cx="6120765" cy="3419467"/>
            <wp:effectExtent l="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3419467"/>
                    </a:xfrm>
                    <a:prstGeom prst="rect">
                      <a:avLst/>
                    </a:prstGeom>
                    <a:noFill/>
                    <a:ln>
                      <a:noFill/>
                    </a:ln>
                  </pic:spPr>
                </pic:pic>
              </a:graphicData>
            </a:graphic>
          </wp:inline>
        </w:drawing>
      </w:r>
    </w:p>
    <w:p w:rsidR="00582E04" w:rsidRPr="00CA4ECE" w:rsidRDefault="00582E04" w:rsidP="00582E04">
      <w:pPr>
        <w:pStyle w:val="FigureNoTitle0"/>
      </w:pPr>
      <w:r w:rsidRPr="00CA4ECE">
        <w:t xml:space="preserve">Figure </w:t>
      </w:r>
      <w:r>
        <w:t>A-1</w:t>
      </w:r>
      <w:r w:rsidRPr="00CA4ECE">
        <w:t xml:space="preserve"> – TDEV as a function of an observation (integration) period </w:t>
      </w:r>
      <w:r w:rsidRPr="00CA4ECE">
        <w:rPr>
          <w:rFonts w:ascii="Symbol" w:hAnsi="Symbol" w:cs="Symbol"/>
        </w:rPr>
        <w:t></w:t>
      </w:r>
    </w:p>
    <w:p w:rsidR="00685D46" w:rsidRDefault="00685D46" w:rsidP="0073102D"/>
    <w:p w:rsidR="0073102D" w:rsidRPr="00FF1FA4" w:rsidRDefault="0012706D" w:rsidP="0073102D">
      <w:r>
        <w:t>Note: Clarifying the term “autonomous” in the context of this document, a cesium atomic clock is an example of an autonomous primary reference clock. A GNSS timing receiver, on the other hand, is not an example of an autonomous primary reference clock, as it relies on external signals for establishing precise time and frequency.</w:t>
      </w:r>
    </w:p>
    <w:p w:rsidR="0073102D" w:rsidRPr="0073102D" w:rsidRDefault="0073102D" w:rsidP="0073102D"/>
    <w:p w:rsidR="00205C06" w:rsidRPr="00DC17F4" w:rsidRDefault="00205C06" w:rsidP="00205C06">
      <w:pPr>
        <w:pStyle w:val="AppendixNoTitle0"/>
        <w:pageBreakBefore/>
      </w:pPr>
      <w:r>
        <w:t>Appendix I</w:t>
      </w:r>
      <w:r w:rsidRPr="00DC17F4">
        <w:br/>
      </w:r>
      <w:r w:rsidRPr="00DC17F4">
        <w:br/>
      </w:r>
      <w:r>
        <w:t>e</w:t>
      </w:r>
      <w:r w:rsidRPr="00DC17F4">
        <w:t>PRTC</w:t>
      </w:r>
      <w:r w:rsidRPr="00DC17F4" w:rsidDel="005B73D5">
        <w:t xml:space="preserve"> </w:t>
      </w:r>
      <w:r w:rsidRPr="00DC17F4">
        <w:t>functional model</w:t>
      </w:r>
      <w:bookmarkEnd w:id="58"/>
      <w:bookmarkEnd w:id="59"/>
      <w:bookmarkEnd w:id="60"/>
    </w:p>
    <w:p w:rsidR="00205C06" w:rsidRPr="00DC17F4" w:rsidRDefault="00205C06" w:rsidP="00205C06">
      <w:pPr>
        <w:jc w:val="center"/>
      </w:pPr>
      <w:r w:rsidRPr="00DC17F4">
        <w:t>(This appendix does not form an integral part of this Recommendation.)</w:t>
      </w:r>
    </w:p>
    <w:p w:rsidR="00205C06" w:rsidRPr="00DC17F4" w:rsidRDefault="00205C06" w:rsidP="00205C06">
      <w:pPr>
        <w:pStyle w:val="Normalaftertitle"/>
      </w:pPr>
      <w:r w:rsidRPr="00DC17F4">
        <w:t xml:space="preserve">A simplified model of the </w:t>
      </w:r>
      <w:r>
        <w:t>e</w:t>
      </w:r>
      <w:r w:rsidRPr="00DC17F4">
        <w:t>PRTC is provided in this appendix to describe its functionality and to define the various interfaces and functions t</w:t>
      </w:r>
      <w:r>
        <w:t>hat collectively define an ePRTC.</w:t>
      </w:r>
    </w:p>
    <w:p w:rsidR="00205C06" w:rsidRPr="00DC17F4" w:rsidRDefault="00205C06" w:rsidP="00205C06">
      <w:r w:rsidRPr="00DC17F4">
        <w:t>Figure II.1 represents a functional model and it is not intended to specify any specific implementation.</w:t>
      </w:r>
    </w:p>
    <w:p w:rsidR="00205C06" w:rsidRPr="00DC17F4" w:rsidRDefault="00205C06" w:rsidP="00205C06">
      <w:pPr>
        <w:pStyle w:val="Figure"/>
      </w:pPr>
      <w:r w:rsidRPr="00261B5C">
        <w:t xml:space="preserve"> </w:t>
      </w:r>
      <w:r w:rsidR="001308DE">
        <w:rPr>
          <w:noProof/>
          <w:lang w:eastAsia="zh-CN"/>
        </w:rPr>
        <w:drawing>
          <wp:inline distT="0" distB="0" distL="0" distR="0">
            <wp:extent cx="6120765" cy="230998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120765" cy="2309984"/>
                    </a:xfrm>
                    <a:prstGeom prst="rect">
                      <a:avLst/>
                    </a:prstGeom>
                    <a:noFill/>
                    <a:ln w="9525">
                      <a:noFill/>
                      <a:miter lim="800000"/>
                      <a:headEnd/>
                      <a:tailEnd/>
                    </a:ln>
                  </pic:spPr>
                </pic:pic>
              </a:graphicData>
            </a:graphic>
          </wp:inline>
        </w:drawing>
      </w:r>
    </w:p>
    <w:p w:rsidR="00205C06" w:rsidRPr="00DC17F4" w:rsidRDefault="00205C06" w:rsidP="00205C06">
      <w:pPr>
        <w:pStyle w:val="FigureNoTitle0"/>
      </w:pPr>
      <w:r w:rsidRPr="00DC17F4">
        <w:t xml:space="preserve">Figure II.1 – </w:t>
      </w:r>
      <w:r>
        <w:t>e</w:t>
      </w:r>
      <w:r w:rsidRPr="00DC17F4">
        <w:t>PRTC functional model</w:t>
      </w:r>
    </w:p>
    <w:p w:rsidR="00205C06" w:rsidRPr="00DC17F4" w:rsidRDefault="00205C06" w:rsidP="00205C06">
      <w:pPr>
        <w:pStyle w:val="Note"/>
      </w:pPr>
      <w:r w:rsidRPr="00DC17F4">
        <w:t xml:space="preserve">NOTE – The output interfaces shown in Figure II.1 correspond to logical interfaces; in some </w:t>
      </w:r>
      <w:r>
        <w:t>e</w:t>
      </w:r>
      <w:r w:rsidRPr="00DC17F4">
        <w:t>PRTC implementations, the time logical interface and the phase logical interface may be merged into the same phase/time physical interface. In addition to the time reference, the time logical interface may carry associated information on the</w:t>
      </w:r>
      <w:r>
        <w:t xml:space="preserve"> traceability of the reference.</w:t>
      </w:r>
    </w:p>
    <w:p w:rsidR="00205C06" w:rsidRPr="00DC17F4" w:rsidRDefault="00205C06" w:rsidP="00205C06">
      <w:r w:rsidRPr="00DC17F4">
        <w:t>The main function of a</w:t>
      </w:r>
      <w:r>
        <w:t>n</w:t>
      </w:r>
      <w:r w:rsidRPr="00DC17F4">
        <w:t xml:space="preserve"> </w:t>
      </w:r>
      <w:r>
        <w:t>e</w:t>
      </w:r>
      <w:r w:rsidRPr="00DC17F4">
        <w:t>PRTC is to deliver a primary time reference to be used in time and/or phase synchronization of other clocks of the network.</w:t>
      </w:r>
    </w:p>
    <w:p w:rsidR="00205C06" w:rsidRDefault="00205C06" w:rsidP="00205C06">
      <w:r w:rsidRPr="00DC17F4">
        <w:t>A</w:t>
      </w:r>
      <w:r>
        <w:t>n</w:t>
      </w:r>
      <w:r w:rsidRPr="00DC17F4">
        <w:t xml:space="preserve"> </w:t>
      </w:r>
      <w:r>
        <w:t>e</w:t>
      </w:r>
      <w:r w:rsidRPr="00DC17F4">
        <w:t>PRTC receives a time reference from a system having access to a recognized primary time standard (e.g., from a global navigation satellite system or from a national laboratory participating in time standards generation) and delivers this reference signal to other clocks within a network or section of a network.</w:t>
      </w:r>
    </w:p>
    <w:p w:rsidR="00205C06" w:rsidRPr="00702C7F" w:rsidRDefault="00EF28E3" w:rsidP="00205C06">
      <w:r>
        <w:t xml:space="preserve">The main difference between </w:t>
      </w:r>
      <w:r w:rsidR="0012471E" w:rsidRPr="0012471E">
        <w:t xml:space="preserve">the </w:t>
      </w:r>
      <w:r>
        <w:t xml:space="preserve">PRTC and the ePTRC is the </w:t>
      </w:r>
      <w:r w:rsidR="00F34E64">
        <w:t xml:space="preserve">input from an </w:t>
      </w:r>
      <w:r>
        <w:t xml:space="preserve">external autonomous primary reference clock </w:t>
      </w:r>
      <w:r w:rsidR="00F34E64">
        <w:t>(e.g. cesium clock)</w:t>
      </w:r>
      <w:r>
        <w:t>. Therefore an ePRTC includes an external input frequency interface and it must also implement at least one output frequency interface. The ePRTC can also include multiple input frequency references used to ensemble a very stable frequency reference</w:t>
      </w:r>
      <w:r w:rsidR="00205C06" w:rsidRPr="00702C7F">
        <w:t xml:space="preserve">. A possible use of the output frequency interface may be to measure the phase </w:t>
      </w:r>
      <w:r w:rsidR="000B2DC5">
        <w:t>error</w:t>
      </w:r>
      <w:r w:rsidR="00205C06" w:rsidRPr="00702C7F">
        <w:t xml:space="preserve"> of the ePRTC</w:t>
      </w:r>
      <w:r w:rsidR="000B2DC5">
        <w:t>,</w:t>
      </w:r>
      <w:r w:rsidR="00205C06" w:rsidRPr="00702C7F">
        <w:t xml:space="preserve"> </w:t>
      </w:r>
      <w:r w:rsidR="000B2DC5">
        <w:t>using</w:t>
      </w:r>
      <w:r w:rsidR="00205C06" w:rsidRPr="00702C7F">
        <w:t xml:space="preserve"> traditional telecom signals.</w:t>
      </w:r>
    </w:p>
    <w:p w:rsidR="00205C06" w:rsidRPr="00DC17F4" w:rsidRDefault="00205C06" w:rsidP="00205C06">
      <w:r w:rsidRPr="00DC17F4">
        <w:t xml:space="preserve">Finally, the </w:t>
      </w:r>
      <w:r>
        <w:t>e</w:t>
      </w:r>
      <w:r w:rsidRPr="00DC17F4">
        <w:t>PRTC may also deliver traceability information, reflecting the status of the clock (i.e., locked on its input reference signal, in holdover, etc.). The details of this traceability information are for further study.</w:t>
      </w:r>
    </w:p>
    <w:p w:rsidR="00205C06" w:rsidRPr="00DC17F4" w:rsidRDefault="00205C06" w:rsidP="00205C06">
      <w:r w:rsidRPr="00DC17F4">
        <w:t xml:space="preserve">The functionality of the </w:t>
      </w:r>
      <w:r>
        <w:t>e</w:t>
      </w:r>
      <w:r w:rsidRPr="00DC17F4">
        <w:t>PRTC is defined based on the individual blocks in Figure II.1. A description of the functions is provided in Table II.1. Note that the specific grouping of the functions is for description only and is not intended to specify h</w:t>
      </w:r>
      <w:r>
        <w:t>ow the ePRTC may be implemented.</w:t>
      </w:r>
    </w:p>
    <w:p w:rsidR="00205C06" w:rsidRPr="00DC17F4" w:rsidRDefault="00205C06" w:rsidP="00205C06">
      <w:pPr>
        <w:pStyle w:val="TableNoTitle0"/>
      </w:pPr>
      <w:r w:rsidRPr="00DC17F4">
        <w:t xml:space="preserve">Table II.1 – </w:t>
      </w:r>
      <w:r>
        <w:t>e</w:t>
      </w:r>
      <w:r w:rsidRPr="00DC17F4">
        <w:t>PRTC functions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404"/>
      </w:tblGrid>
      <w:tr w:rsidR="00205C06" w:rsidRPr="00DC17F4" w:rsidTr="00506592">
        <w:tc>
          <w:tcPr>
            <w:tcW w:w="2235" w:type="dxa"/>
          </w:tcPr>
          <w:p w:rsidR="00205C06" w:rsidRPr="00DC17F4" w:rsidRDefault="00205C06" w:rsidP="00506592">
            <w:pPr>
              <w:pStyle w:val="Tabletext"/>
              <w:keepNext/>
              <w:keepLines/>
            </w:pPr>
            <w:r w:rsidRPr="00DC17F4">
              <w:t xml:space="preserve">Time recovery </w:t>
            </w:r>
          </w:p>
        </w:tc>
        <w:tc>
          <w:tcPr>
            <w:tcW w:w="7404" w:type="dxa"/>
          </w:tcPr>
          <w:p w:rsidR="00205C06" w:rsidRPr="00DC17F4" w:rsidRDefault="00205C06" w:rsidP="00506592">
            <w:pPr>
              <w:pStyle w:val="Tabletext"/>
              <w:keepNext/>
              <w:keepLines/>
            </w:pPr>
            <w:r w:rsidRPr="00DC17F4">
              <w:t>Receives and processes the external time inter</w:t>
            </w:r>
            <w:r>
              <w:t>face (e.g., from GNSS antenna).</w:t>
            </w:r>
          </w:p>
          <w:p w:rsidR="00205C06" w:rsidRPr="00DC17F4" w:rsidRDefault="00205C06" w:rsidP="00506592">
            <w:pPr>
              <w:pStyle w:val="Tabletext"/>
              <w:keepNext/>
              <w:keepLines/>
            </w:pPr>
            <w:r w:rsidRPr="00DC17F4">
              <w:t>Provides output signals to generate fr</w:t>
            </w:r>
            <w:r>
              <w:t>equency, phase and time.</w:t>
            </w:r>
          </w:p>
          <w:p w:rsidR="00205C06" w:rsidRPr="00DC17F4" w:rsidRDefault="00205C06" w:rsidP="00506592">
            <w:pPr>
              <w:pStyle w:val="Tabletext"/>
              <w:keepNext/>
              <w:keepLines/>
            </w:pPr>
            <w:r w:rsidRPr="00DC17F4">
              <w:t>Provides traceability information.</w:t>
            </w:r>
          </w:p>
        </w:tc>
      </w:tr>
      <w:tr w:rsidR="00205C06" w:rsidRPr="00DC17F4" w:rsidTr="00506592">
        <w:tc>
          <w:tcPr>
            <w:tcW w:w="2235" w:type="dxa"/>
          </w:tcPr>
          <w:p w:rsidR="00205C06" w:rsidRPr="00DC17F4" w:rsidRDefault="00205C06" w:rsidP="00506592">
            <w:pPr>
              <w:pStyle w:val="Tabletext"/>
            </w:pPr>
            <w:r w:rsidRPr="00DC17F4">
              <w:t>Local frequency clock</w:t>
            </w:r>
          </w:p>
        </w:tc>
        <w:tc>
          <w:tcPr>
            <w:tcW w:w="7404" w:type="dxa"/>
          </w:tcPr>
          <w:p w:rsidR="000A586F" w:rsidRDefault="00205C06">
            <w:pPr>
              <w:pStyle w:val="Tabletext"/>
            </w:pPr>
            <w:r w:rsidRPr="00702C7F">
              <w:t xml:space="preserve">The </w:t>
            </w:r>
            <w:r w:rsidR="00514303">
              <w:t xml:space="preserve">“Local </w:t>
            </w:r>
            <w:r w:rsidRPr="00702C7F">
              <w:t>frequency clock</w:t>
            </w:r>
            <w:r w:rsidR="00514303">
              <w:t>”</w:t>
            </w:r>
            <w:r w:rsidRPr="00702C7F">
              <w:t xml:space="preserve"> generates the internally-used frequency timing signals. It synchronizes to a</w:t>
            </w:r>
            <w:r w:rsidR="00F34E64">
              <w:t>n</w:t>
            </w:r>
            <w:r w:rsidR="004643E8">
              <w:t xml:space="preserve"> </w:t>
            </w:r>
            <w:r w:rsidRPr="00702C7F">
              <w:t>autonomous primary reference clock input</w:t>
            </w:r>
            <w:r w:rsidRPr="00702C7F" w:rsidDel="0002014C">
              <w:t xml:space="preserve"> </w:t>
            </w:r>
            <w:r w:rsidRPr="00702C7F">
              <w:t>(e.g. E1, 2048 kHz, 10</w:t>
            </w:r>
            <w:r w:rsidR="00514303">
              <w:t xml:space="preserve"> MHz, etc.). The output of the “L</w:t>
            </w:r>
            <w:r w:rsidRPr="00702C7F">
              <w:t>ocal frequency clo</w:t>
            </w:r>
            <w:r w:rsidR="00514303">
              <w:t>ck” provides a reference to the “L</w:t>
            </w:r>
            <w:r w:rsidRPr="00702C7F">
              <w:t>ocal timescale generation</w:t>
            </w:r>
            <w:r w:rsidR="00514303">
              <w:t>”</w:t>
            </w:r>
            <w:r w:rsidRPr="00702C7F">
              <w:t xml:space="preserve"> block.</w:t>
            </w:r>
          </w:p>
        </w:tc>
      </w:tr>
      <w:tr w:rsidR="00205C06" w:rsidRPr="00DC17F4" w:rsidTr="00506592">
        <w:tc>
          <w:tcPr>
            <w:tcW w:w="2235" w:type="dxa"/>
          </w:tcPr>
          <w:p w:rsidR="00205C06" w:rsidRPr="00DC17F4" w:rsidRDefault="00205C06" w:rsidP="00506592">
            <w:pPr>
              <w:pStyle w:val="Tabletext"/>
            </w:pPr>
            <w:r w:rsidRPr="00DC17F4">
              <w:t>Local timescale</w:t>
            </w:r>
          </w:p>
        </w:tc>
        <w:tc>
          <w:tcPr>
            <w:tcW w:w="7404" w:type="dxa"/>
          </w:tcPr>
          <w:p w:rsidR="00205C06" w:rsidRPr="00DC17F4" w:rsidRDefault="00205C06" w:rsidP="00506592">
            <w:pPr>
              <w:pStyle w:val="Tabletext"/>
            </w:pPr>
            <w:r w:rsidRPr="00DC17F4">
              <w:t>Maintains the local representation of the primary timescale, based on the frequency generated by the local frequency clock.</w:t>
            </w:r>
          </w:p>
          <w:p w:rsidR="00205C06" w:rsidRPr="00DC17F4" w:rsidRDefault="00205C06" w:rsidP="00506592">
            <w:pPr>
              <w:pStyle w:val="Tabletext"/>
            </w:pPr>
            <w:r w:rsidRPr="00DC17F4">
              <w:t xml:space="preserve">This block also generates the time and phase reference output signals. </w:t>
            </w:r>
          </w:p>
        </w:tc>
      </w:tr>
      <w:tr w:rsidR="00205C06" w:rsidRPr="00DC17F4" w:rsidTr="00506592">
        <w:tc>
          <w:tcPr>
            <w:tcW w:w="2235" w:type="dxa"/>
          </w:tcPr>
          <w:p w:rsidR="00205C06" w:rsidRPr="00DC17F4" w:rsidRDefault="00205C06" w:rsidP="00506592">
            <w:pPr>
              <w:pStyle w:val="Tabletext"/>
            </w:pPr>
            <w:r w:rsidRPr="00DC17F4">
              <w:t>I/F</w:t>
            </w:r>
          </w:p>
        </w:tc>
        <w:tc>
          <w:tcPr>
            <w:tcW w:w="7404" w:type="dxa"/>
          </w:tcPr>
          <w:p w:rsidR="00205C06" w:rsidRPr="00DC17F4" w:rsidRDefault="00205C06" w:rsidP="00506592">
            <w:pPr>
              <w:pStyle w:val="Tabletext"/>
            </w:pPr>
            <w:r w:rsidRPr="00DC17F4">
              <w:t xml:space="preserve">Interface function necessary to generate a physical signal. </w:t>
            </w:r>
          </w:p>
        </w:tc>
      </w:tr>
    </w:tbl>
    <w:p w:rsidR="0098469F" w:rsidRPr="00CA4ECE" w:rsidRDefault="0098469F" w:rsidP="0098469F"/>
    <w:p w:rsidR="00821561" w:rsidRDefault="0098469F" w:rsidP="00685D46">
      <w:r>
        <w:br w:type="page"/>
      </w:r>
    </w:p>
    <w:p w:rsidR="00AF3C90" w:rsidRDefault="00AF3C90" w:rsidP="00AF3C90">
      <w:pPr>
        <w:pStyle w:val="AppendixNoTitle0"/>
        <w:pageBreakBefore/>
      </w:pPr>
      <w:r>
        <w:t>Appendix I</w:t>
      </w:r>
      <w:r w:rsidR="00582E04">
        <w:t>I</w:t>
      </w:r>
      <w:r>
        <w:br/>
      </w:r>
      <w:r>
        <w:br/>
      </w:r>
      <w:r w:rsidRPr="00C92E44">
        <w:rPr>
          <w:u w:val="single"/>
        </w:rPr>
        <w:t>ePRTC</w:t>
      </w:r>
      <w:r>
        <w:rPr>
          <w:u w:val="single"/>
        </w:rPr>
        <w:t xml:space="preserve"> holdover model</w:t>
      </w:r>
    </w:p>
    <w:p w:rsidR="00AF3C90" w:rsidRDefault="00AF3C90" w:rsidP="00AF3C90">
      <w:pPr>
        <w:jc w:val="center"/>
      </w:pPr>
      <w:r w:rsidRPr="00E07281">
        <w:t xml:space="preserve"> (This appendix does not form an integral</w:t>
      </w:r>
      <w:r>
        <w:t xml:space="preserve"> part of this Recommendation.)</w:t>
      </w:r>
    </w:p>
    <w:p w:rsidR="00AF3C90" w:rsidRDefault="00AF3C90" w:rsidP="00AF3C90">
      <w:pPr>
        <w:tabs>
          <w:tab w:val="clear" w:pos="794"/>
          <w:tab w:val="clear" w:pos="1191"/>
          <w:tab w:val="clear" w:pos="1588"/>
          <w:tab w:val="clear" w:pos="1985"/>
        </w:tabs>
        <w:overflowPunct/>
        <w:autoSpaceDE/>
        <w:autoSpaceDN/>
        <w:adjustRightInd/>
        <w:spacing w:before="0"/>
        <w:textAlignment w:val="auto"/>
      </w:pPr>
    </w:p>
    <w:p w:rsidR="003F1E44" w:rsidRPr="00C92E44" w:rsidRDefault="00582E04" w:rsidP="003F1E44">
      <w:pPr>
        <w:rPr>
          <w:b/>
          <w:szCs w:val="22"/>
        </w:rPr>
      </w:pPr>
      <w:r>
        <w:rPr>
          <w:b/>
          <w:szCs w:val="22"/>
        </w:rPr>
        <w:t>II</w:t>
      </w:r>
      <w:r w:rsidR="003F1E44" w:rsidRPr="00C92E44">
        <w:rPr>
          <w:b/>
          <w:szCs w:val="22"/>
        </w:rPr>
        <w:t xml:space="preserve">.1 </w:t>
      </w:r>
      <w:r w:rsidR="003F1E44">
        <w:rPr>
          <w:b/>
          <w:szCs w:val="22"/>
        </w:rPr>
        <w:t>General clock model</w:t>
      </w:r>
    </w:p>
    <w:p w:rsidR="003F1E44" w:rsidRDefault="003F1E44" w:rsidP="003F1E44">
      <w:r>
        <w:t xml:space="preserve">The methodology to evaluate the holdover performance is based on the well-established clock model </w:t>
      </w:r>
      <w:r w:rsidRPr="00413FDB">
        <w:t>[b-Sullivan-1990]</w:t>
      </w:r>
      <w:r w:rsidR="00684168">
        <w:t xml:space="preserve">, </w:t>
      </w:r>
      <w:r w:rsidR="00684168" w:rsidRPr="00684168">
        <w:rPr>
          <w:szCs w:val="24"/>
        </w:rPr>
        <w:t>[b-Bregni-2002]</w:t>
      </w:r>
      <w:r>
        <w:t>. The clock model provides a well-defined relationship between the fundamental attributes of a clock and the time error performance capabilities of the clock.</w:t>
      </w:r>
    </w:p>
    <w:p w:rsidR="003F1E44" w:rsidRDefault="003F1E44" w:rsidP="003F1E44">
      <w:r>
        <w:t>When both the deterministic and stochastic components are included the general time error accumulation governing equation is:</w:t>
      </w:r>
    </w:p>
    <w:p w:rsidR="000900F4" w:rsidRPr="00413FDB" w:rsidRDefault="000900F4" w:rsidP="000900F4">
      <w:pPr>
        <w:tabs>
          <w:tab w:val="clear" w:pos="794"/>
          <w:tab w:val="left" w:pos="450"/>
          <w:tab w:val="right" w:pos="9356"/>
        </w:tabs>
        <w:ind w:left="450"/>
        <w:rPr>
          <w:szCs w:val="22"/>
        </w:rPr>
      </w:pPr>
      <w:r w:rsidRPr="00480646">
        <w:rPr>
          <w:position w:val="-30"/>
          <w:szCs w:val="24"/>
        </w:rPr>
        <w:object w:dxaOrig="30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35.25pt" o:ole="">
            <v:imagedata r:id="rId13" o:title=""/>
          </v:shape>
          <o:OLEObject Type="Embed" ProgID="Equation.3" ShapeID="_x0000_i1025" DrawAspect="Content" ObjectID="_1536588627" r:id="rId14"/>
        </w:object>
      </w:r>
      <w:r>
        <w:t xml:space="preserve">  </w:t>
      </w:r>
      <w:r>
        <w:rPr>
          <w:szCs w:val="22"/>
        </w:rPr>
        <w:tab/>
        <w:t xml:space="preserve">     </w:t>
      </w:r>
      <w:r w:rsidRPr="00413FDB">
        <w:rPr>
          <w:szCs w:val="22"/>
        </w:rPr>
        <w:t>(I</w:t>
      </w:r>
      <w:r>
        <w:rPr>
          <w:szCs w:val="22"/>
        </w:rPr>
        <w:t>I-1</w:t>
      </w:r>
      <w:r w:rsidRPr="00413FDB">
        <w:rPr>
          <w:szCs w:val="22"/>
        </w:rPr>
        <w:t>)</w:t>
      </w:r>
      <w:r w:rsidRPr="00855B13">
        <w:rPr>
          <w:szCs w:val="22"/>
        </w:rPr>
        <w:t xml:space="preserve"> </w:t>
      </w:r>
    </w:p>
    <w:p w:rsidR="003F1E44" w:rsidRPr="000900F4" w:rsidRDefault="003F1E44" w:rsidP="003F1E44">
      <w:r>
        <w:t xml:space="preserve">where </w:t>
      </w:r>
      <w:r w:rsidRPr="00504F3F">
        <w:rPr>
          <w:i/>
        </w:rPr>
        <w:t>c</w:t>
      </w:r>
      <w:r w:rsidRPr="00504F3F">
        <w:rPr>
          <w:vertAlign w:val="subscript"/>
        </w:rPr>
        <w:t>0</w:t>
      </w:r>
      <w:r>
        <w:t>=</w:t>
      </w:r>
      <w:r w:rsidRPr="00504F3F">
        <w:rPr>
          <w:i/>
        </w:rPr>
        <w:t>a</w:t>
      </w:r>
      <w:r w:rsidRPr="00504F3F">
        <w:rPr>
          <w:vertAlign w:val="subscript"/>
        </w:rPr>
        <w:t>0</w:t>
      </w:r>
      <w:r>
        <w:t xml:space="preserve">, </w:t>
      </w:r>
      <w:r w:rsidRPr="00504F3F">
        <w:rPr>
          <w:i/>
        </w:rPr>
        <w:t>c</w:t>
      </w:r>
      <w:r w:rsidRPr="00504F3F">
        <w:rPr>
          <w:vertAlign w:val="subscript"/>
        </w:rPr>
        <w:t>1</w:t>
      </w:r>
      <w:r>
        <w:t>=</w:t>
      </w:r>
      <w:r w:rsidRPr="00504F3F">
        <w:rPr>
          <w:i/>
        </w:rPr>
        <w:t>y</w:t>
      </w:r>
      <w:r w:rsidRPr="00504F3F">
        <w:rPr>
          <w:vertAlign w:val="subscript"/>
        </w:rPr>
        <w:t>0</w:t>
      </w:r>
      <w:r>
        <w:t xml:space="preserve">, </w:t>
      </w:r>
      <w:r w:rsidRPr="00504F3F">
        <w:rPr>
          <w:i/>
        </w:rPr>
        <w:t>c</w:t>
      </w:r>
      <w:r w:rsidRPr="00504F3F">
        <w:rPr>
          <w:vertAlign w:val="subscript"/>
        </w:rPr>
        <w:t>2</w:t>
      </w:r>
      <w:r>
        <w:t>=½</w:t>
      </w:r>
      <w:r w:rsidRPr="00504F3F">
        <w:rPr>
          <w:i/>
        </w:rPr>
        <w:t>d</w:t>
      </w:r>
      <w:r w:rsidRPr="00504F3F">
        <w:t>,</w:t>
      </w:r>
      <w:r>
        <w:t xml:space="preserve"> and the TDEV of the stochastic components is:</w:t>
      </w:r>
    </w:p>
    <w:p w:rsidR="000900F4" w:rsidRPr="00582E04" w:rsidRDefault="000900F4" w:rsidP="000900F4">
      <w:pPr>
        <w:tabs>
          <w:tab w:val="clear" w:pos="794"/>
          <w:tab w:val="left" w:pos="450"/>
          <w:tab w:val="right" w:pos="9356"/>
        </w:tabs>
        <w:ind w:left="450"/>
        <w:rPr>
          <w:rFonts w:ascii="Cambria Math" w:hAnsi="Cambria Math"/>
          <w:i/>
        </w:rPr>
      </w:pPr>
      <w:r w:rsidRPr="00480646">
        <w:rPr>
          <w:position w:val="-30"/>
          <w:szCs w:val="24"/>
        </w:rPr>
        <w:object w:dxaOrig="2020" w:dyaOrig="780">
          <v:shape id="_x0000_i1026" type="#_x0000_t75" style="width:102pt;height:38.25pt" o:ole="">
            <v:imagedata r:id="rId15" o:title=""/>
          </v:shape>
          <o:OLEObject Type="Embed" ProgID="Equation.3" ShapeID="_x0000_i1026" DrawAspect="Content" ObjectID="_1536588628" r:id="rId16"/>
        </w:object>
      </w:r>
      <w:r w:rsidRPr="00582E04">
        <w:rPr>
          <w:rFonts w:ascii="Cambria Math" w:hAnsi="Cambria Math"/>
          <w:i/>
        </w:rPr>
        <w:t xml:space="preserve">      </w:t>
      </w:r>
      <w:r w:rsidRPr="00582E04">
        <w:rPr>
          <w:rFonts w:ascii="Cambria Math" w:hAnsi="Cambria Math"/>
          <w:i/>
        </w:rPr>
        <w:tab/>
        <w:t xml:space="preserve">     </w:t>
      </w:r>
      <w:r w:rsidRPr="00582E04">
        <w:rPr>
          <w:rFonts w:ascii="Cambria Math" w:hAnsi="Cambria Math"/>
        </w:rPr>
        <w:t>(II-2)</w:t>
      </w:r>
    </w:p>
    <w:p w:rsidR="003F1E44" w:rsidRDefault="003F1E44" w:rsidP="003F1E44">
      <w:r>
        <w:t>Summarizing each term based on the</w:t>
      </w:r>
      <w:r w:rsidR="007815C4">
        <w:t xml:space="preserve"> index</w:t>
      </w:r>
      <w:r w:rsidRPr="00A04558">
        <w:rPr>
          <w:i/>
        </w:rPr>
        <w:t xml:space="preserve"> </w:t>
      </w:r>
      <w:r w:rsidRPr="004654AA">
        <w:rPr>
          <w:i/>
        </w:rPr>
        <w:t>i</w:t>
      </w:r>
      <w:r>
        <w:t>,</w:t>
      </w:r>
      <w:r w:rsidR="000900F4" w:rsidRPr="000900F4">
        <w:t xml:space="preserve"> </w:t>
      </w:r>
      <w:r w:rsidR="000900F4">
        <w:t xml:space="preserve">(the index </w:t>
      </w:r>
      <w:r w:rsidR="000900F4" w:rsidRPr="00416E0D">
        <w:rPr>
          <w:i/>
        </w:rPr>
        <w:t>j</w:t>
      </w:r>
      <w:r w:rsidR="000900F4">
        <w:t xml:space="preserve"> corresponds to the index </w:t>
      </w:r>
      <w:r w:rsidR="000900F4" w:rsidRPr="00416E0D">
        <w:rPr>
          <w:i/>
        </w:rPr>
        <w:t>i</w:t>
      </w:r>
      <w:r w:rsidR="000900F4">
        <w:t xml:space="preserve"> divided by 2 when </w:t>
      </w:r>
      <w:r w:rsidR="000900F4" w:rsidRPr="00416E0D">
        <w:rPr>
          <w:i/>
        </w:rPr>
        <w:t>i</w:t>
      </w:r>
      <w:r w:rsidR="000900F4">
        <w:t xml:space="preserve"> is even)</w:t>
      </w:r>
      <w:r>
        <w:t>:</w:t>
      </w:r>
    </w:p>
    <w:p w:rsidR="003F1E44" w:rsidRPr="00F70C3A" w:rsidRDefault="003F1E44" w:rsidP="003F1E44">
      <w:pPr>
        <w:ind w:left="567"/>
        <w:rPr>
          <w:sz w:val="22"/>
        </w:rPr>
      </w:pPr>
      <w:r w:rsidRPr="00F70C3A">
        <w:rPr>
          <w:i/>
          <w:sz w:val="22"/>
        </w:rPr>
        <w:t>i</w:t>
      </w:r>
      <w:r w:rsidRPr="00F70C3A">
        <w:rPr>
          <w:sz w:val="22"/>
        </w:rPr>
        <w:t>=0: Initial time offset at start of holdover (limited by initial time error during normal tracking</w:t>
      </w:r>
      <w:r w:rsidR="00A3053C">
        <w:rPr>
          <w:sz w:val="22"/>
        </w:rPr>
        <w:t>; not applicable to stability</w:t>
      </w:r>
      <w:r w:rsidRPr="00F70C3A">
        <w:rPr>
          <w:sz w:val="22"/>
        </w:rPr>
        <w:t>)</w:t>
      </w:r>
    </w:p>
    <w:p w:rsidR="003F1E44" w:rsidRPr="00F70C3A" w:rsidRDefault="003F1E44" w:rsidP="003F1E44">
      <w:pPr>
        <w:spacing w:before="0"/>
        <w:ind w:left="567"/>
        <w:rPr>
          <w:sz w:val="22"/>
        </w:rPr>
      </w:pPr>
      <w:r w:rsidRPr="00F70C3A">
        <w:rPr>
          <w:i/>
          <w:sz w:val="22"/>
        </w:rPr>
        <w:t>i</w:t>
      </w:r>
      <w:r w:rsidRPr="00F70C3A">
        <w:rPr>
          <w:sz w:val="22"/>
        </w:rPr>
        <w:t>=1: Contribution from the white FM noise component (</w:t>
      </w:r>
      <w:r w:rsidR="000900F4" w:rsidRPr="00A92B12">
        <w:rPr>
          <w:position w:val="-6"/>
          <w:szCs w:val="24"/>
        </w:rPr>
        <w:object w:dxaOrig="340" w:dyaOrig="340">
          <v:shape id="_x0000_i1027" type="#_x0000_t75" style="width:17.25pt;height:17.25pt" o:ole="">
            <v:imagedata r:id="rId17" o:title=""/>
          </v:shape>
          <o:OLEObject Type="Embed" ProgID="Equation.3" ShapeID="_x0000_i1027" DrawAspect="Content" ObjectID="_1536588629" r:id="rId18"/>
        </w:object>
      </w:r>
      <w:r>
        <w:rPr>
          <w:sz w:val="22"/>
        </w:rPr>
        <w:t xml:space="preserve">TDEV dependence for the </w:t>
      </w:r>
      <w:r w:rsidRPr="00F70C3A">
        <w:rPr>
          <w:sz w:val="22"/>
        </w:rPr>
        <w:t>time accumulation process)</w:t>
      </w:r>
    </w:p>
    <w:p w:rsidR="003F1E44" w:rsidRPr="00F70C3A" w:rsidRDefault="003F1E44" w:rsidP="003F1E44">
      <w:pPr>
        <w:ind w:left="567"/>
        <w:rPr>
          <w:sz w:val="22"/>
        </w:rPr>
      </w:pPr>
      <w:r w:rsidRPr="00F70C3A">
        <w:rPr>
          <w:i/>
          <w:sz w:val="22"/>
        </w:rPr>
        <w:t>i</w:t>
      </w:r>
      <w:r w:rsidRPr="00F70C3A">
        <w:rPr>
          <w:sz w:val="22"/>
        </w:rPr>
        <w:t>=2: Linear time error accumulation associated with the initial frequency offset and the flicker noise FM component</w:t>
      </w:r>
    </w:p>
    <w:p w:rsidR="003F1E44" w:rsidRPr="00F70C3A" w:rsidRDefault="003F1E44" w:rsidP="003F1E44">
      <w:pPr>
        <w:spacing w:before="0"/>
        <w:ind w:left="567"/>
        <w:rPr>
          <w:sz w:val="22"/>
        </w:rPr>
      </w:pPr>
      <w:r w:rsidRPr="00F70C3A">
        <w:rPr>
          <w:i/>
          <w:sz w:val="22"/>
        </w:rPr>
        <w:t>i</w:t>
      </w:r>
      <w:r w:rsidRPr="00F70C3A">
        <w:rPr>
          <w:sz w:val="22"/>
        </w:rPr>
        <w:t>=3: Contribution from the random walk FM noise component (</w:t>
      </w:r>
      <w:r w:rsidR="000900F4" w:rsidRPr="00A92B12">
        <w:rPr>
          <w:position w:val="-6"/>
          <w:szCs w:val="24"/>
        </w:rPr>
        <w:object w:dxaOrig="340" w:dyaOrig="340">
          <v:shape id="_x0000_i1028" type="#_x0000_t75" style="width:17.25pt;height:17.25pt" o:ole="">
            <v:imagedata r:id="rId19" o:title=""/>
          </v:shape>
          <o:OLEObject Type="Embed" ProgID="Equation.3" ShapeID="_x0000_i1028" DrawAspect="Content" ObjectID="_1536588630" r:id="rId20"/>
        </w:object>
      </w:r>
      <w:r>
        <w:rPr>
          <w:sz w:val="22"/>
        </w:rPr>
        <w:t xml:space="preserve">TDEV dependence for the </w:t>
      </w:r>
      <w:r w:rsidRPr="00F70C3A">
        <w:rPr>
          <w:sz w:val="22"/>
        </w:rPr>
        <w:t>time accumulation process) Note this is usually insignificant for atomic clocks used in ePRTC applications)</w:t>
      </w:r>
    </w:p>
    <w:p w:rsidR="003F1E44" w:rsidRPr="00F70C3A" w:rsidRDefault="003F1E44" w:rsidP="003F1E44">
      <w:pPr>
        <w:ind w:left="562"/>
        <w:rPr>
          <w:sz w:val="22"/>
        </w:rPr>
      </w:pPr>
      <w:r w:rsidRPr="00F70C3A">
        <w:rPr>
          <w:i/>
          <w:sz w:val="22"/>
        </w:rPr>
        <w:t>i</w:t>
      </w:r>
      <w:r w:rsidRPr="00F70C3A">
        <w:rPr>
          <w:sz w:val="22"/>
        </w:rPr>
        <w:t>=4: Contribution associated with drift in the clock and flicker walk FM (</w:t>
      </w:r>
      <w:r w:rsidR="000900F4" w:rsidRPr="00A92B12">
        <w:rPr>
          <w:position w:val="-6"/>
          <w:szCs w:val="24"/>
        </w:rPr>
        <w:object w:dxaOrig="279" w:dyaOrig="320">
          <v:shape id="_x0000_i1029" type="#_x0000_t75" style="width:14.25pt;height:15.75pt" o:ole="">
            <v:imagedata r:id="rId21" o:title=""/>
          </v:shape>
          <o:OLEObject Type="Embed" ProgID="Equation.3" ShapeID="_x0000_i1029" DrawAspect="Content" ObjectID="_1536588631" r:id="rId22"/>
        </w:object>
      </w:r>
      <w:r w:rsidRPr="00F70C3A">
        <w:rPr>
          <w:sz w:val="22"/>
        </w:rPr>
        <w:t xml:space="preserve">component </w:t>
      </w:r>
      <w:r>
        <w:rPr>
          <w:sz w:val="22"/>
        </w:rPr>
        <w:t xml:space="preserve">of TDEV, which is </w:t>
      </w:r>
      <w:r w:rsidRPr="00F70C3A">
        <w:rPr>
          <w:sz w:val="22"/>
        </w:rPr>
        <w:t>not relevant for atomic clocks used in ePRTC applications</w:t>
      </w:r>
      <w:r w:rsidR="00A3053C">
        <w:rPr>
          <w:sz w:val="22"/>
        </w:rPr>
        <w:t xml:space="preserve">; because of this, it is not included in </w:t>
      </w:r>
      <w:r w:rsidR="007815C4">
        <w:rPr>
          <w:sz w:val="22"/>
        </w:rPr>
        <w:t>Eq.(</w:t>
      </w:r>
      <w:r w:rsidR="00582E04">
        <w:rPr>
          <w:sz w:val="22"/>
        </w:rPr>
        <w:t>II</w:t>
      </w:r>
      <w:r w:rsidR="00A3053C">
        <w:rPr>
          <w:sz w:val="22"/>
        </w:rPr>
        <w:t>-2</w:t>
      </w:r>
      <w:r w:rsidR="007815C4">
        <w:rPr>
          <w:sz w:val="22"/>
        </w:rPr>
        <w:t>)</w:t>
      </w:r>
      <w:r w:rsidRPr="00F70C3A">
        <w:rPr>
          <w:sz w:val="22"/>
        </w:rPr>
        <w:t>)</w:t>
      </w:r>
      <w:r w:rsidR="007815C4">
        <w:rPr>
          <w:sz w:val="22"/>
        </w:rPr>
        <w:t>.</w:t>
      </w:r>
    </w:p>
    <w:p w:rsidR="003F1E44" w:rsidRPr="00C92E44" w:rsidRDefault="00582E04" w:rsidP="003F1E44">
      <w:pPr>
        <w:rPr>
          <w:b/>
          <w:szCs w:val="22"/>
        </w:rPr>
      </w:pPr>
      <w:r>
        <w:rPr>
          <w:b/>
          <w:szCs w:val="22"/>
        </w:rPr>
        <w:t>II</w:t>
      </w:r>
      <w:r w:rsidR="003F1E44">
        <w:rPr>
          <w:b/>
          <w:szCs w:val="22"/>
        </w:rPr>
        <w:t>.2</w:t>
      </w:r>
      <w:r w:rsidR="003F1E44" w:rsidRPr="00C92E44">
        <w:rPr>
          <w:b/>
          <w:szCs w:val="22"/>
        </w:rPr>
        <w:t xml:space="preserve"> </w:t>
      </w:r>
      <w:r w:rsidR="003F1E44">
        <w:rPr>
          <w:b/>
          <w:szCs w:val="22"/>
        </w:rPr>
        <w:t>Ideal holdover model</w:t>
      </w:r>
    </w:p>
    <w:p w:rsidR="003F1E44" w:rsidRDefault="00CA4B59" w:rsidP="003F1E44">
      <w:r w:rsidRPr="0067259C">
        <w:t xml:space="preserve">In </w:t>
      </w:r>
      <w:r w:rsidR="0067259C" w:rsidRPr="0067259C">
        <w:t>applying</w:t>
      </w:r>
      <w:r w:rsidRPr="0067259C">
        <w:t xml:space="preserve"> the general</w:t>
      </w:r>
      <w:r w:rsidR="003F1E44">
        <w:t xml:space="preserve"> clock model to the ePRTC, the first observation is that in an ideal case, the deterministic clock state components (clock phase, clock frequency and clock drift) could be known perfectly. It is useful to see how well an atomic clock can maintain timekeeping in two steps. First, the ideal holdover performance is considered, as this is the performance limitation of the clocks themselves. The results in this section show the ideal timekeeping capability, as examples, of three types of atomic clocks:</w:t>
      </w:r>
    </w:p>
    <w:p w:rsidR="003F1E44" w:rsidRDefault="003F1E44" w:rsidP="003F1E44">
      <w:pPr>
        <w:pStyle w:val="ListParagraph"/>
        <w:numPr>
          <w:ilvl w:val="0"/>
          <w:numId w:val="17"/>
        </w:numPr>
        <w:contextualSpacing/>
      </w:pPr>
      <w:r>
        <w:t>ePRC-A</w:t>
      </w:r>
    </w:p>
    <w:p w:rsidR="003F1E44" w:rsidRDefault="003F1E44" w:rsidP="003F1E44">
      <w:pPr>
        <w:pStyle w:val="ListParagraph"/>
        <w:numPr>
          <w:ilvl w:val="0"/>
          <w:numId w:val="17"/>
        </w:numPr>
        <w:spacing w:before="0"/>
        <w:contextualSpacing/>
      </w:pPr>
      <w:r>
        <w:t>ePRC-B</w:t>
      </w:r>
    </w:p>
    <w:p w:rsidR="003F1E44" w:rsidRPr="00C63B65" w:rsidRDefault="003F1E44" w:rsidP="003F1E44">
      <w:pPr>
        <w:pStyle w:val="ListParagraph"/>
        <w:numPr>
          <w:ilvl w:val="0"/>
          <w:numId w:val="17"/>
        </w:numPr>
        <w:spacing w:before="0" w:after="120"/>
        <w:contextualSpacing/>
      </w:pPr>
      <w:r>
        <w:t>ePRC-C</w:t>
      </w:r>
    </w:p>
    <w:p w:rsidR="003F1E44" w:rsidRDefault="00CA4B59" w:rsidP="003F1E44">
      <w:r w:rsidRPr="0067259C">
        <w:t>The term ePRC is a</w:t>
      </w:r>
      <w:r w:rsidR="0067259C" w:rsidRPr="0067259C">
        <w:t>n</w:t>
      </w:r>
      <w:r w:rsidRPr="0067259C">
        <w:t xml:space="preserve"> </w:t>
      </w:r>
      <w:r w:rsidR="0067259C" w:rsidRPr="0067259C">
        <w:t>acronym</w:t>
      </w:r>
      <w:r w:rsidRPr="0067259C">
        <w:t xml:space="preserve"> for “enhanced PRC”, which performs</w:t>
      </w:r>
      <w:r w:rsidR="003F1E44">
        <w:t xml:space="preserve"> at least at the level of the PRC defined in Annex A of this document.  The ideal holdover performance of such clocks is limited by the intrinsic noise performance. For example, the flicker FM noise floor (i.e. the minimum value of MDEV) for a standard cesium tube clock (ePRC-A example) is typically 1.5e-14, while a high performance cesium tube clock (ePRC-B example) flicker FM noise floor is typically 3 times better (5e-15). An atomic clock based on Ytterbium cold ion microwave technology (ePRC-C example), represents a significant improvement over high-performance cesium, with a tenfold improvement in intrinsic noise performance (flicker noise typically better than 5e-16).</w:t>
      </w:r>
    </w:p>
    <w:p w:rsidR="003F1E44" w:rsidRDefault="003F1E44" w:rsidP="003F1E44">
      <w:r>
        <w:t xml:space="preserve">The two graphs (one at a 30-day scale and another at a 300-day scale) contained in Figure </w:t>
      </w:r>
      <w:r w:rsidR="00582E04">
        <w:t>II</w:t>
      </w:r>
      <w:r>
        <w:t xml:space="preserve">.1 show the accumulated time error performance, i.e. TDEV, for six example cases: (1) </w:t>
      </w:r>
      <w:r w:rsidRPr="007759F5">
        <w:t xml:space="preserve">One </w:t>
      </w:r>
      <w:r>
        <w:t>ePRC-A</w:t>
      </w:r>
      <w:r w:rsidRPr="007759F5">
        <w:t xml:space="preserve"> (blue)</w:t>
      </w:r>
      <w:r>
        <w:t xml:space="preserve">, (2) </w:t>
      </w:r>
      <w:r w:rsidRPr="007759F5">
        <w:t xml:space="preserve">Dual Ensemble of </w:t>
      </w:r>
      <w:r>
        <w:t>ePRC-A</w:t>
      </w:r>
      <w:r w:rsidRPr="007759F5">
        <w:t xml:space="preserve"> (red)</w:t>
      </w:r>
      <w:r>
        <w:t xml:space="preserve">, (3) </w:t>
      </w:r>
      <w:r w:rsidRPr="007759F5">
        <w:t xml:space="preserve">One </w:t>
      </w:r>
      <w:r>
        <w:t xml:space="preserve">ePRC-B </w:t>
      </w:r>
      <w:r w:rsidRPr="007759F5">
        <w:t>(green)</w:t>
      </w:r>
      <w:r>
        <w:t xml:space="preserve">, (4) </w:t>
      </w:r>
      <w:r w:rsidRPr="007759F5">
        <w:t xml:space="preserve">Dual Ensemble of </w:t>
      </w:r>
      <w:r>
        <w:t>ePRC-B</w:t>
      </w:r>
      <w:r w:rsidRPr="007759F5">
        <w:t xml:space="preserve"> (purple)</w:t>
      </w:r>
      <w:r>
        <w:t xml:space="preserve">, (5) </w:t>
      </w:r>
      <w:r w:rsidRPr="007759F5">
        <w:t xml:space="preserve">One </w:t>
      </w:r>
      <w:r>
        <w:t>ePRC-C (light blue</w:t>
      </w:r>
      <w:r w:rsidRPr="007759F5">
        <w:t>)</w:t>
      </w:r>
      <w:r>
        <w:t xml:space="preserve">, and (6) </w:t>
      </w:r>
      <w:r w:rsidRPr="007759F5">
        <w:t xml:space="preserve">Dual Ensemble of </w:t>
      </w:r>
      <w:r>
        <w:t xml:space="preserve">e-PRC-C </w:t>
      </w:r>
      <w:r w:rsidRPr="007759F5">
        <w:t>(orange)</w:t>
      </w:r>
      <w:r>
        <w:t xml:space="preserve">.  In each case, ensembling shows performance improvement.  </w:t>
      </w:r>
    </w:p>
    <w:p w:rsidR="003F1E44" w:rsidRDefault="003F1E44" w:rsidP="003F1E44"/>
    <w:p w:rsidR="003F1E44" w:rsidRDefault="005A0EFC" w:rsidP="003F1E44">
      <w:r>
        <w:rPr>
          <w:noProof/>
          <w:lang w:eastAsia="zh-CN"/>
        </w:rPr>
        <w:drawing>
          <wp:inline distT="0" distB="0" distL="0" distR="0">
            <wp:extent cx="6120765" cy="302428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765" cy="3024284"/>
                    </a:xfrm>
                    <a:prstGeom prst="rect">
                      <a:avLst/>
                    </a:prstGeom>
                    <a:noFill/>
                    <a:ln>
                      <a:noFill/>
                    </a:ln>
                  </pic:spPr>
                </pic:pic>
              </a:graphicData>
            </a:graphic>
          </wp:inline>
        </w:drawing>
      </w:r>
    </w:p>
    <w:p w:rsidR="003F1E44" w:rsidRPr="00217145" w:rsidRDefault="003F1E44" w:rsidP="003F1E44">
      <w:pPr>
        <w:pStyle w:val="TableNoTitle0"/>
        <w:spacing w:before="120"/>
        <w:rPr>
          <w:sz w:val="20"/>
        </w:rPr>
      </w:pPr>
      <w:r w:rsidRPr="00217145">
        <w:rPr>
          <w:sz w:val="20"/>
        </w:rPr>
        <w:t xml:space="preserve">Figure </w:t>
      </w:r>
      <w:r w:rsidR="00582E04">
        <w:rPr>
          <w:sz w:val="20"/>
        </w:rPr>
        <w:t>II</w:t>
      </w:r>
      <w:r w:rsidRPr="00217145">
        <w:rPr>
          <w:sz w:val="20"/>
        </w:rPr>
        <w:t xml:space="preserve">.1 </w:t>
      </w:r>
      <w:r w:rsidRPr="00217145">
        <w:rPr>
          <w:sz w:val="20"/>
        </w:rPr>
        <w:sym w:font="Symbol" w:char="F02D"/>
      </w:r>
      <w:r w:rsidRPr="00217145">
        <w:rPr>
          <w:sz w:val="20"/>
        </w:rPr>
        <w:t xml:space="preserve"> Atomic clock time keeping (30-day and 300-day scales)</w:t>
      </w:r>
    </w:p>
    <w:p w:rsidR="003F1E44" w:rsidRDefault="003F1E44" w:rsidP="003F1E44">
      <w:pPr>
        <w:rPr>
          <w:b/>
          <w:szCs w:val="22"/>
        </w:rPr>
      </w:pPr>
    </w:p>
    <w:p w:rsidR="003F1E44" w:rsidRPr="00C92E44" w:rsidRDefault="00582E04" w:rsidP="003F1E44">
      <w:pPr>
        <w:rPr>
          <w:b/>
          <w:szCs w:val="22"/>
        </w:rPr>
      </w:pPr>
      <w:r>
        <w:rPr>
          <w:b/>
          <w:szCs w:val="22"/>
        </w:rPr>
        <w:t>II</w:t>
      </w:r>
      <w:r w:rsidR="003F1E44">
        <w:rPr>
          <w:b/>
          <w:szCs w:val="22"/>
        </w:rPr>
        <w:t>.3</w:t>
      </w:r>
      <w:r w:rsidR="003F1E44" w:rsidRPr="00C92E44">
        <w:rPr>
          <w:b/>
          <w:szCs w:val="22"/>
        </w:rPr>
        <w:t xml:space="preserve"> </w:t>
      </w:r>
      <w:r w:rsidR="003F1E44">
        <w:rPr>
          <w:b/>
          <w:szCs w:val="22"/>
        </w:rPr>
        <w:t>ePRTC holdover performance characterization</w:t>
      </w:r>
    </w:p>
    <w:p w:rsidR="003F1E44" w:rsidRDefault="003F1E44" w:rsidP="003F1E44">
      <w:r>
        <w:t xml:space="preserve">A key capability of an ePRTC is the capability to maintain normal timing performance during extended GNSS outage events. Such events can be the results of </w:t>
      </w:r>
      <w:r w:rsidR="00541C87">
        <w:t xml:space="preserve">maintenance, equipment failure, </w:t>
      </w:r>
      <w:r>
        <w:t>or intentional or unintentional jamming.</w:t>
      </w:r>
    </w:p>
    <w:p w:rsidR="003F1E44" w:rsidRDefault="003F1E44" w:rsidP="003F1E44">
      <w:r>
        <w:t>The results summarized below are based on a complete simulation of an ePRTC based on these components:</w:t>
      </w:r>
    </w:p>
    <w:p w:rsidR="003F1E44" w:rsidRPr="003F1E44" w:rsidRDefault="00C22995" w:rsidP="003F1E44">
      <w:pPr>
        <w:pStyle w:val="ListParagraph"/>
        <w:numPr>
          <w:ilvl w:val="0"/>
          <w:numId w:val="18"/>
        </w:numPr>
        <w:spacing w:before="200" w:after="200"/>
        <w:contextualSpacing/>
        <w:rPr>
          <w:lang w:val="en-US"/>
        </w:rPr>
      </w:pPr>
      <w:r w:rsidRPr="00C22995">
        <w:rPr>
          <w:lang w:val="en-US"/>
        </w:rPr>
        <w:t>Intrinsic noise of the clock – The deterministic and stochastic components of the clock model described above.</w:t>
      </w:r>
    </w:p>
    <w:p w:rsidR="003F1E44" w:rsidRPr="003F1E44" w:rsidRDefault="00C22995" w:rsidP="003F1E44">
      <w:pPr>
        <w:pStyle w:val="ListParagraph"/>
        <w:numPr>
          <w:ilvl w:val="0"/>
          <w:numId w:val="18"/>
        </w:numPr>
        <w:spacing w:before="0" w:after="200"/>
        <w:contextualSpacing/>
        <w:rPr>
          <w:lang w:val="en-US"/>
        </w:rPr>
      </w:pPr>
      <w:r w:rsidRPr="00C22995">
        <w:rPr>
          <w:lang w:val="en-US"/>
        </w:rPr>
        <w:t>GNSS reference noise – The simulation model includes the receiver noise as well as a diurnal model of ionospheric delay.</w:t>
      </w:r>
    </w:p>
    <w:p w:rsidR="003F1E44" w:rsidRPr="003F1E44" w:rsidRDefault="00C22995" w:rsidP="003F1E44">
      <w:pPr>
        <w:pStyle w:val="ListParagraph"/>
        <w:numPr>
          <w:ilvl w:val="0"/>
          <w:numId w:val="18"/>
        </w:numPr>
        <w:spacing w:before="0" w:after="200"/>
        <w:contextualSpacing/>
        <w:rPr>
          <w:lang w:val="en-US"/>
        </w:rPr>
      </w:pPr>
      <w:r w:rsidRPr="00C22995">
        <w:rPr>
          <w:lang w:val="en-US"/>
        </w:rPr>
        <w:t>Measurement noise – A small component associated with the performance of a well-designed ePRTC system</w:t>
      </w:r>
    </w:p>
    <w:p w:rsidR="003F1E44" w:rsidRDefault="0067259C" w:rsidP="003F1E44">
      <w:r>
        <w:t xml:space="preserve">The simulation models one particular </w:t>
      </w:r>
      <w:r w:rsidR="00CA4B59" w:rsidRPr="0067259C">
        <w:t>ePRTC clock algorithm. At the core of all clock algorithms is the behaviour that the short-term noise is dominated by the clock performance and the long-term noise is dominated by the reference performance. A well-designed filter algorithm will mitigate noise peaking in the response.</w:t>
      </w:r>
      <w:r w:rsidR="003F1E44">
        <w:t xml:space="preserve"> </w:t>
      </w:r>
    </w:p>
    <w:p w:rsidR="003F1E44" w:rsidRDefault="003F1E44" w:rsidP="003F1E44">
      <w:r>
        <w:t>For an ePRTC with multiple atomic clock inputs, an ensembling function is also required. Also, dynamic filtering performance is required to address non-steady conditions such as start-up and clock outages. The internal characteristics of the filtering algorithm are beyond the scope of the ePRTC standard. This example is provided to show the holdover performance obtainable with ePRTC technology.</w:t>
      </w:r>
    </w:p>
    <w:p w:rsidR="003F1E44" w:rsidRDefault="003F1E44" w:rsidP="003F1E44">
      <w:r>
        <w:t xml:space="preserve">The graph below in Figure </w:t>
      </w:r>
      <w:r w:rsidR="00582E04">
        <w:t>II</w:t>
      </w:r>
      <w:r>
        <w:t>-2 shows the performance of ePRTC systems for a 14-day GNSS outage when operating with different alternative local atomic clocks. The graph includes six examples as before: single/dual standard performance cesium, single/dual high performance cesium, and single/dual next generation atomic clock.</w:t>
      </w:r>
    </w:p>
    <w:p w:rsidR="003F1E44" w:rsidRDefault="003F1E44" w:rsidP="003F1E44">
      <w:r>
        <w:t xml:space="preserve">This illustrates the key capability of an ePRTC to support outages beyond several days without serious time keeping degradation. This time error is constrained to be better than a PRTC for a minimum outage period of two weeks. Such events can be the results of maintenance, equipment failure or intentional or unintentional jamming.  All example clocks meet the ePRTC holdover requirement from clause 8.2, which is shown with the solid red lines, by a comfortable margin. </w:t>
      </w:r>
    </w:p>
    <w:p w:rsidR="003F1E44" w:rsidRDefault="005A0EFC" w:rsidP="003F1E44">
      <w:r>
        <w:rPr>
          <w:noProof/>
          <w:lang w:eastAsia="zh-CN"/>
        </w:rPr>
        <w:drawing>
          <wp:inline distT="0" distB="0" distL="0" distR="0">
            <wp:extent cx="6120765" cy="2885504"/>
            <wp:effectExtent l="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765" cy="2885504"/>
                    </a:xfrm>
                    <a:prstGeom prst="rect">
                      <a:avLst/>
                    </a:prstGeom>
                    <a:noFill/>
                    <a:ln>
                      <a:noFill/>
                    </a:ln>
                  </pic:spPr>
                </pic:pic>
              </a:graphicData>
            </a:graphic>
          </wp:inline>
        </w:drawing>
      </w:r>
    </w:p>
    <w:p w:rsidR="003F1E44" w:rsidRPr="00217145" w:rsidRDefault="00CA4B59" w:rsidP="003F1E44">
      <w:pPr>
        <w:pStyle w:val="TableNoTitle0"/>
        <w:spacing w:before="120"/>
        <w:rPr>
          <w:sz w:val="20"/>
        </w:rPr>
      </w:pPr>
      <w:r w:rsidRPr="00684168">
        <w:rPr>
          <w:sz w:val="20"/>
        </w:rPr>
        <w:t xml:space="preserve">Figure II.2 </w:t>
      </w:r>
      <w:r w:rsidRPr="00684168">
        <w:rPr>
          <w:sz w:val="20"/>
        </w:rPr>
        <w:sym w:font="Symbol" w:char="F02D"/>
      </w:r>
      <w:r w:rsidRPr="00684168">
        <w:rPr>
          <w:sz w:val="20"/>
        </w:rPr>
        <w:t xml:space="preserve"> Atomic clock 14-day holdover (starts after 3 days)</w:t>
      </w:r>
    </w:p>
    <w:p w:rsidR="003F1E44" w:rsidRPr="00EF0F1A" w:rsidRDefault="003F1E44" w:rsidP="003F1E44">
      <w:pPr>
        <w:pStyle w:val="Heading1"/>
        <w:rPr>
          <w:sz w:val="22"/>
        </w:rPr>
      </w:pPr>
      <w:r w:rsidRPr="00EF0F1A">
        <w:rPr>
          <w:sz w:val="22"/>
        </w:rPr>
        <w:t>Bibliography</w:t>
      </w:r>
    </w:p>
    <w:p w:rsidR="003F1E44" w:rsidRDefault="003F1E44" w:rsidP="003F1E44">
      <w:pPr>
        <w:ind w:left="1983" w:hanging="1983"/>
        <w:rPr>
          <w:szCs w:val="24"/>
        </w:rPr>
      </w:pPr>
      <w:r w:rsidRPr="002E4525">
        <w:rPr>
          <w:szCs w:val="24"/>
        </w:rPr>
        <w:t>[b-Sullivan-1990]</w:t>
      </w:r>
      <w:r w:rsidRPr="002E4525">
        <w:rPr>
          <w:szCs w:val="24"/>
        </w:rPr>
        <w:tab/>
      </w:r>
      <w:r>
        <w:rPr>
          <w:szCs w:val="24"/>
        </w:rPr>
        <w:tab/>
      </w:r>
      <w:r w:rsidRPr="00D666AE">
        <w:rPr>
          <w:szCs w:val="24"/>
        </w:rPr>
        <w:t xml:space="preserve">D. B. Sullivan, D. W. Allan, D. A. Howe, and F. L. Walls, </w:t>
      </w:r>
      <w:r w:rsidRPr="00D666AE">
        <w:rPr>
          <w:i/>
          <w:szCs w:val="24"/>
        </w:rPr>
        <w:t>Characterization of Clocks and Oscillators</w:t>
      </w:r>
      <w:r w:rsidRPr="00D666AE">
        <w:rPr>
          <w:szCs w:val="24"/>
        </w:rPr>
        <w:t>, NIST Technical Note 1337, March 1990.</w:t>
      </w:r>
    </w:p>
    <w:p w:rsidR="003F1E44" w:rsidRPr="002E4525" w:rsidRDefault="00CA4B59" w:rsidP="003F1E44">
      <w:pPr>
        <w:ind w:left="1983" w:hanging="1983"/>
        <w:rPr>
          <w:szCs w:val="24"/>
        </w:rPr>
      </w:pPr>
      <w:bookmarkStart w:id="61" w:name="_Ref232053605"/>
      <w:r w:rsidRPr="00684168">
        <w:rPr>
          <w:szCs w:val="24"/>
        </w:rPr>
        <w:t>[b-Bregni-2002]</w:t>
      </w:r>
      <w:r w:rsidRPr="00684168">
        <w:rPr>
          <w:szCs w:val="24"/>
        </w:rPr>
        <w:tab/>
      </w:r>
      <w:r w:rsidRPr="00684168">
        <w:rPr>
          <w:szCs w:val="24"/>
        </w:rPr>
        <w:tab/>
        <w:t xml:space="preserve">Stefano Bregni, </w:t>
      </w:r>
      <w:r w:rsidRPr="00684168">
        <w:rPr>
          <w:i/>
          <w:szCs w:val="24"/>
        </w:rPr>
        <w:t>Synchronization of Digital Telecommunications Networks</w:t>
      </w:r>
      <w:r w:rsidRPr="00684168">
        <w:rPr>
          <w:szCs w:val="24"/>
        </w:rPr>
        <w:t>, Wiley, 2002.</w:t>
      </w:r>
      <w:bookmarkEnd w:id="61"/>
    </w:p>
    <w:p w:rsidR="00BA707D" w:rsidRPr="0039599C" w:rsidRDefault="00BA707D" w:rsidP="00BA707D">
      <w:pPr>
        <w:pStyle w:val="AppendixNoTitle0"/>
        <w:rPr>
          <w:lang w:val="en-US"/>
        </w:rPr>
      </w:pPr>
      <w:r w:rsidRPr="0039599C">
        <w:rPr>
          <w:bCs/>
          <w:lang w:val="en-US"/>
        </w:rPr>
        <w:t>_______</w:t>
      </w:r>
    </w:p>
    <w:p w:rsidR="0098469F" w:rsidRPr="0098469F" w:rsidRDefault="0098469F" w:rsidP="0098469F"/>
    <w:sectPr w:rsidR="0098469F" w:rsidRPr="0098469F" w:rsidSect="00A75F2B">
      <w:headerReference w:type="default" r:id="rId25"/>
      <w:footerReference w:type="first" r:id="rId26"/>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41B" w:rsidRDefault="0058541B">
      <w:r>
        <w:separator/>
      </w:r>
    </w:p>
  </w:endnote>
  <w:endnote w:type="continuationSeparator" w:id="0">
    <w:p w:rsidR="0058541B" w:rsidRDefault="0058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7" w:type="dxa"/>
      <w:jc w:val="center"/>
      <w:tblLayout w:type="fixed"/>
      <w:tblCellMar>
        <w:left w:w="57" w:type="dxa"/>
        <w:right w:w="57" w:type="dxa"/>
      </w:tblCellMar>
      <w:tblLook w:val="0000" w:firstRow="0" w:lastRow="0" w:firstColumn="0" w:lastColumn="0" w:noHBand="0" w:noVBand="0"/>
    </w:tblPr>
    <w:tblGrid>
      <w:gridCol w:w="1617"/>
      <w:gridCol w:w="4394"/>
      <w:gridCol w:w="3912"/>
      <w:gridCol w:w="304"/>
    </w:tblGrid>
    <w:tr w:rsidR="00A75F2B" w:rsidRPr="00A75F2B" w:rsidTr="00A75F2B">
      <w:trPr>
        <w:cantSplit/>
        <w:trHeight w:val="204"/>
        <w:jc w:val="center"/>
      </w:trPr>
      <w:tc>
        <w:tcPr>
          <w:tcW w:w="1617" w:type="dxa"/>
          <w:tcBorders>
            <w:top w:val="single" w:sz="12" w:space="0" w:color="auto"/>
          </w:tcBorders>
        </w:tcPr>
        <w:p w:rsidR="00A75F2B" w:rsidRPr="00A75F2B" w:rsidRDefault="00A75F2B" w:rsidP="00A75F2B">
          <w:pPr>
            <w:rPr>
              <w:b/>
              <w:bCs/>
              <w:sz w:val="22"/>
            </w:rPr>
          </w:pPr>
          <w:bookmarkStart w:id="62" w:name="dcontact"/>
          <w:bookmarkStart w:id="63" w:name="dcontent1" w:colFirst="1" w:colLast="1"/>
          <w:r w:rsidRPr="00A75F2B">
            <w:rPr>
              <w:b/>
              <w:bCs/>
              <w:sz w:val="22"/>
            </w:rPr>
            <w:t>Contact:</w:t>
          </w:r>
        </w:p>
      </w:tc>
      <w:tc>
        <w:tcPr>
          <w:tcW w:w="4394" w:type="dxa"/>
          <w:tcBorders>
            <w:top w:val="single" w:sz="12" w:space="0" w:color="auto"/>
          </w:tcBorders>
        </w:tcPr>
        <w:p w:rsidR="00A75F2B" w:rsidRPr="00A75F2B" w:rsidRDefault="00A75F2B" w:rsidP="00A75F2B">
          <w:pPr>
            <w:rPr>
              <w:sz w:val="22"/>
            </w:rPr>
          </w:pPr>
          <w:r w:rsidRPr="00A75F2B">
            <w:rPr>
              <w:sz w:val="22"/>
            </w:rPr>
            <w:t>Silvana Rodrigues</w:t>
          </w:r>
        </w:p>
        <w:p w:rsidR="00A75F2B" w:rsidRPr="00A75F2B" w:rsidRDefault="00A75F2B" w:rsidP="00A75F2B">
          <w:pPr>
            <w:spacing w:before="0"/>
            <w:rPr>
              <w:sz w:val="22"/>
            </w:rPr>
          </w:pPr>
          <w:r w:rsidRPr="00A75F2B">
            <w:rPr>
              <w:sz w:val="22"/>
            </w:rPr>
            <w:t>IDT</w:t>
          </w:r>
        </w:p>
        <w:p w:rsidR="00A75F2B" w:rsidRPr="00A75F2B" w:rsidRDefault="00A75F2B" w:rsidP="00A75F2B">
          <w:pPr>
            <w:spacing w:before="0"/>
            <w:rPr>
              <w:sz w:val="22"/>
            </w:rPr>
          </w:pPr>
          <w:r w:rsidRPr="00A75F2B">
            <w:rPr>
              <w:sz w:val="22"/>
            </w:rPr>
            <w:t>Canada</w:t>
          </w:r>
        </w:p>
      </w:tc>
      <w:tc>
        <w:tcPr>
          <w:tcW w:w="4216" w:type="dxa"/>
          <w:gridSpan w:val="2"/>
          <w:tcBorders>
            <w:top w:val="single" w:sz="12" w:space="0" w:color="auto"/>
          </w:tcBorders>
        </w:tcPr>
        <w:p w:rsidR="00A75F2B" w:rsidRPr="00A75F2B" w:rsidRDefault="00A75F2B" w:rsidP="00A75F2B">
          <w:pPr>
            <w:rPr>
              <w:sz w:val="22"/>
            </w:rPr>
          </w:pPr>
          <w:r w:rsidRPr="00A75F2B">
            <w:rPr>
              <w:sz w:val="22"/>
            </w:rPr>
            <w:t>Tel: +1 613 595 6224</w:t>
          </w:r>
        </w:p>
        <w:p w:rsidR="00A75F2B" w:rsidRPr="00A75F2B" w:rsidRDefault="00A75F2B" w:rsidP="00A75F2B">
          <w:pPr>
            <w:spacing w:before="0"/>
            <w:rPr>
              <w:sz w:val="22"/>
            </w:rPr>
          </w:pPr>
          <w:r w:rsidRPr="00A75F2B">
            <w:rPr>
              <w:sz w:val="22"/>
            </w:rPr>
            <w:t>Fax: +1 613 592 1320</w:t>
          </w:r>
        </w:p>
        <w:p w:rsidR="00A75F2B" w:rsidRPr="00A75F2B" w:rsidRDefault="00A75F2B" w:rsidP="00A75F2B">
          <w:pPr>
            <w:spacing w:before="0"/>
            <w:rPr>
              <w:sz w:val="22"/>
            </w:rPr>
          </w:pPr>
          <w:r w:rsidRPr="00A75F2B">
            <w:rPr>
              <w:sz w:val="22"/>
            </w:rPr>
            <w:t>Email: silvana.rodrigues@idt.com</w:t>
          </w:r>
        </w:p>
      </w:tc>
    </w:tr>
    <w:tr w:rsidR="00A75F2B" w:rsidRPr="00A75F2B" w:rsidTr="00A75F2B">
      <w:trPr>
        <w:cantSplit/>
        <w:trHeight w:val="204"/>
        <w:jc w:val="center"/>
      </w:trPr>
      <w:tc>
        <w:tcPr>
          <w:tcW w:w="1617" w:type="dxa"/>
          <w:tcBorders>
            <w:top w:val="single" w:sz="12" w:space="0" w:color="auto"/>
          </w:tcBorders>
        </w:tcPr>
        <w:p w:rsidR="00A75F2B" w:rsidRPr="00A75F2B" w:rsidRDefault="00A75F2B" w:rsidP="00A75F2B">
          <w:pPr>
            <w:rPr>
              <w:b/>
              <w:bCs/>
              <w:sz w:val="22"/>
            </w:rPr>
          </w:pPr>
          <w:bookmarkStart w:id="64" w:name="dcontent2" w:colFirst="1" w:colLast="1"/>
          <w:bookmarkEnd w:id="62"/>
          <w:bookmarkEnd w:id="63"/>
          <w:r w:rsidRPr="00A75F2B">
            <w:rPr>
              <w:b/>
              <w:bCs/>
              <w:sz w:val="22"/>
            </w:rPr>
            <w:t>Contact:</w:t>
          </w:r>
        </w:p>
      </w:tc>
      <w:tc>
        <w:tcPr>
          <w:tcW w:w="4394" w:type="dxa"/>
          <w:tcBorders>
            <w:top w:val="single" w:sz="12" w:space="0" w:color="auto"/>
          </w:tcBorders>
        </w:tcPr>
        <w:p w:rsidR="00A75F2B" w:rsidRPr="00A75F2B" w:rsidRDefault="0088555B" w:rsidP="00A75F2B">
          <w:pPr>
            <w:rPr>
              <w:kern w:val="2"/>
              <w:sz w:val="22"/>
              <w:szCs w:val="24"/>
              <w:lang w:val="fr-CH" w:eastAsia="zh-CN"/>
            </w:rPr>
          </w:pPr>
          <w:r w:rsidRPr="0088555B">
            <w:rPr>
              <w:kern w:val="2"/>
              <w:sz w:val="22"/>
              <w:szCs w:val="24"/>
              <w:lang w:val="fr-CH" w:eastAsia="zh-CN"/>
            </w:rPr>
            <w:t xml:space="preserve">Han LI </w:t>
          </w:r>
        </w:p>
        <w:p w:rsidR="00A75F2B" w:rsidRPr="00A75F2B" w:rsidRDefault="0088555B" w:rsidP="00A75F2B">
          <w:pPr>
            <w:spacing w:before="0"/>
            <w:rPr>
              <w:kern w:val="2"/>
              <w:sz w:val="22"/>
              <w:szCs w:val="24"/>
              <w:lang w:val="fr-CH" w:eastAsia="zh-CN"/>
            </w:rPr>
          </w:pPr>
          <w:r w:rsidRPr="0088555B">
            <w:rPr>
              <w:kern w:val="2"/>
              <w:sz w:val="22"/>
              <w:szCs w:val="24"/>
              <w:lang w:val="fr-CH" w:eastAsia="zh-CN"/>
            </w:rPr>
            <w:t>China Mobile Communications Corporation</w:t>
          </w:r>
        </w:p>
        <w:p w:rsidR="00A75F2B" w:rsidRPr="00A75F2B" w:rsidRDefault="00A75F2B" w:rsidP="00A75F2B">
          <w:pPr>
            <w:spacing w:before="0"/>
            <w:rPr>
              <w:sz w:val="22"/>
            </w:rPr>
          </w:pPr>
          <w:proofErr w:type="spellStart"/>
          <w:r w:rsidRPr="00A75F2B">
            <w:rPr>
              <w:kern w:val="2"/>
              <w:sz w:val="22"/>
              <w:szCs w:val="24"/>
              <w:lang w:eastAsia="zh-CN"/>
            </w:rPr>
            <w:t>P.R.China</w:t>
          </w:r>
          <w:proofErr w:type="spellEnd"/>
        </w:p>
      </w:tc>
      <w:tc>
        <w:tcPr>
          <w:tcW w:w="4216" w:type="dxa"/>
          <w:gridSpan w:val="2"/>
          <w:tcBorders>
            <w:top w:val="single" w:sz="12" w:space="0" w:color="auto"/>
          </w:tcBorders>
        </w:tcPr>
        <w:p w:rsidR="00A75F2B" w:rsidRPr="00A75F2B" w:rsidRDefault="00A75F2B" w:rsidP="00A75F2B">
          <w:pPr>
            <w:rPr>
              <w:sz w:val="22"/>
            </w:rPr>
          </w:pPr>
          <w:r w:rsidRPr="00A75F2B">
            <w:rPr>
              <w:sz w:val="22"/>
            </w:rPr>
            <w:t xml:space="preserve">Tel: </w:t>
          </w:r>
          <w:r w:rsidRPr="00A75F2B">
            <w:rPr>
              <w:kern w:val="2"/>
              <w:sz w:val="22"/>
              <w:lang w:val="en-US" w:eastAsia="zh-CN"/>
            </w:rPr>
            <w:t>+86-10-15801696688-33092</w:t>
          </w:r>
        </w:p>
        <w:p w:rsidR="00A75F2B" w:rsidRPr="00A75F2B" w:rsidRDefault="00A75F2B" w:rsidP="00A75F2B">
          <w:pPr>
            <w:spacing w:before="0"/>
            <w:rPr>
              <w:sz w:val="22"/>
            </w:rPr>
          </w:pPr>
          <w:r w:rsidRPr="00A75F2B">
            <w:rPr>
              <w:sz w:val="22"/>
            </w:rPr>
            <w:t>Fax:</w:t>
          </w:r>
          <w:r w:rsidRPr="00A75F2B">
            <w:rPr>
              <w:kern w:val="2"/>
              <w:sz w:val="22"/>
              <w:lang w:val="en-US" w:eastAsia="zh-CN"/>
            </w:rPr>
            <w:t xml:space="preserve"> +86-10-63601087</w:t>
          </w:r>
        </w:p>
        <w:p w:rsidR="00A75F2B" w:rsidRPr="00A75F2B" w:rsidRDefault="00A75F2B" w:rsidP="00A75F2B">
          <w:pPr>
            <w:spacing w:before="0"/>
            <w:rPr>
              <w:sz w:val="22"/>
            </w:rPr>
          </w:pPr>
          <w:r w:rsidRPr="00A75F2B">
            <w:rPr>
              <w:sz w:val="22"/>
            </w:rPr>
            <w:t xml:space="preserve">Email: </w:t>
          </w:r>
          <w:hyperlink r:id="rId1" w:history="1">
            <w:r w:rsidRPr="00A75F2B">
              <w:rPr>
                <w:rStyle w:val="Hyperlink"/>
                <w:kern w:val="2"/>
                <w:sz w:val="22"/>
              </w:rPr>
              <w:t>lihan@chinamobile.com</w:t>
            </w:r>
          </w:hyperlink>
        </w:p>
      </w:tc>
    </w:tr>
    <w:bookmarkEnd w:id="64"/>
    <w:tr w:rsidR="00A75F2B" w:rsidRPr="00A75F2B" w:rsidTr="00A75F2B">
      <w:tblPrEx>
        <w:tblCellMar>
          <w:left w:w="108" w:type="dxa"/>
          <w:right w:w="108" w:type="dxa"/>
        </w:tblCellMar>
      </w:tblPrEx>
      <w:trPr>
        <w:gridAfter w:val="1"/>
        <w:wAfter w:w="304" w:type="dxa"/>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A75F2B" w:rsidRPr="00A75F2B" w:rsidRDefault="00A75F2B" w:rsidP="00A75F2B">
          <w:pPr>
            <w:spacing w:before="0"/>
            <w:rPr>
              <w:sz w:val="18"/>
            </w:rPr>
          </w:pPr>
          <w:r w:rsidRPr="00A75F2B">
            <w:rPr>
              <w:b/>
              <w:bCs/>
              <w:sz w:val="18"/>
            </w:rPr>
            <w:t>Attention:</w:t>
          </w:r>
          <w:r w:rsidRPr="00A75F2B">
            <w:rPr>
              <w:sz w:val="18"/>
            </w:rPr>
            <w:t xml:space="preserve"> This is not a publication made available to the public, but </w:t>
          </w:r>
          <w:r w:rsidRPr="00A75F2B">
            <w:rPr>
              <w:b/>
              <w:bCs/>
              <w:sz w:val="18"/>
            </w:rPr>
            <w:t>an internal ITU-T Document</w:t>
          </w:r>
          <w:r w:rsidRPr="00A75F2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A75F2B" w:rsidRPr="00A75F2B" w:rsidRDefault="00A75F2B" w:rsidP="00A75F2B">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41B" w:rsidRDefault="0058541B">
      <w:r>
        <w:separator/>
      </w:r>
    </w:p>
  </w:footnote>
  <w:footnote w:type="continuationSeparator" w:id="0">
    <w:p w:rsidR="0058541B" w:rsidRDefault="00585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F78" w:rsidRPr="00A75F2B" w:rsidRDefault="00A75F2B" w:rsidP="00A75F2B">
    <w:pPr>
      <w:pStyle w:val="Header"/>
    </w:pPr>
    <w:r w:rsidRPr="00A75F2B">
      <w:t xml:space="preserve">- </w:t>
    </w:r>
    <w:r w:rsidR="007377B5" w:rsidRPr="00A75F2B">
      <w:fldChar w:fldCharType="begin"/>
    </w:r>
    <w:r w:rsidRPr="00A75F2B">
      <w:instrText xml:space="preserve"> PAGE  \* MERGEFORMAT </w:instrText>
    </w:r>
    <w:r w:rsidR="007377B5" w:rsidRPr="00A75F2B">
      <w:fldChar w:fldCharType="separate"/>
    </w:r>
    <w:r w:rsidR="00011B06">
      <w:rPr>
        <w:noProof/>
      </w:rPr>
      <w:t>15</w:t>
    </w:r>
    <w:r w:rsidR="007377B5" w:rsidRPr="00A75F2B">
      <w:fldChar w:fldCharType="end"/>
    </w:r>
    <w:r w:rsidRPr="00A75F2B">
      <w:t xml:space="preserve"> -</w:t>
    </w:r>
  </w:p>
  <w:p w:rsidR="00A75F2B" w:rsidRPr="00A75F2B" w:rsidRDefault="007377B5" w:rsidP="00A75F2B">
    <w:pPr>
      <w:pStyle w:val="Header"/>
      <w:spacing w:after="240"/>
    </w:pPr>
    <w:r w:rsidRPr="00A75F2B">
      <w:fldChar w:fldCharType="begin"/>
    </w:r>
    <w:r w:rsidR="00A75F2B" w:rsidRPr="00A75F2B">
      <w:instrText xml:space="preserve"> STYLEREF  Docnumber  </w:instrText>
    </w:r>
    <w:r w:rsidRPr="00A75F2B">
      <w:fldChar w:fldCharType="separate"/>
    </w:r>
    <w:r w:rsidR="00011B06">
      <w:rPr>
        <w:noProof/>
      </w:rPr>
      <w:t>TD 613 Rev. 1(PLEN/15)</w:t>
    </w:r>
    <w:r w:rsidRPr="00A75F2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62F2B96"/>
    <w:multiLevelType w:val="hybridMultilevel"/>
    <w:tmpl w:val="0108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5B23A8"/>
    <w:multiLevelType w:val="hybridMultilevel"/>
    <w:tmpl w:val="1A84C0A0"/>
    <w:lvl w:ilvl="0" w:tplc="DD4C64F2">
      <w:start w:val="1"/>
      <w:numFmt w:val="decimal"/>
      <w:lvlText w:val="%1"/>
      <w:lvlJc w:val="left"/>
      <w:pPr>
        <w:ind w:left="1155" w:hanging="7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682C48"/>
    <w:multiLevelType w:val="hybridMultilevel"/>
    <w:tmpl w:val="751A0A8A"/>
    <w:lvl w:ilvl="0" w:tplc="5322BB92">
      <w:start w:val="1"/>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2124EB8"/>
    <w:multiLevelType w:val="hybridMultilevel"/>
    <w:tmpl w:val="FC76CA78"/>
    <w:lvl w:ilvl="0" w:tplc="088061D8">
      <w:start w:val="1"/>
      <w:numFmt w:val="decimal"/>
      <w:pStyle w:val="ListParagraph"/>
      <w:lvlText w:val="%1."/>
      <w:lvlJc w:val="left"/>
      <w:pPr>
        <w:ind w:left="927" w:hanging="360"/>
      </w:pPr>
      <w:rPr>
        <w:rFonts w:hint="default"/>
      </w:rPr>
    </w:lvl>
    <w:lvl w:ilvl="1" w:tplc="08090001">
      <w:start w:val="1"/>
      <w:numFmt w:val="bullet"/>
      <w:lvlText w:val=""/>
      <w:lvlJc w:val="left"/>
      <w:pPr>
        <w:ind w:left="1647" w:hanging="360"/>
      </w:pPr>
      <w:rPr>
        <w:rFonts w:ascii="Symbol" w:hAnsi="Symbol"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25EC070F"/>
    <w:multiLevelType w:val="hybridMultilevel"/>
    <w:tmpl w:val="ED964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97312"/>
    <w:multiLevelType w:val="hybridMultilevel"/>
    <w:tmpl w:val="058C439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14A74D6"/>
    <w:multiLevelType w:val="hybridMultilevel"/>
    <w:tmpl w:val="7C38DC04"/>
    <w:lvl w:ilvl="0" w:tplc="8CA03E18">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3406D"/>
    <w:multiLevelType w:val="hybridMultilevel"/>
    <w:tmpl w:val="AAE81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327ABE"/>
    <w:multiLevelType w:val="hybridMultilevel"/>
    <w:tmpl w:val="BA749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B757D"/>
    <w:multiLevelType w:val="hybridMultilevel"/>
    <w:tmpl w:val="85188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545A45"/>
    <w:multiLevelType w:val="hybridMultilevel"/>
    <w:tmpl w:val="813A2330"/>
    <w:lvl w:ilvl="0" w:tplc="0409000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C20296"/>
    <w:multiLevelType w:val="hybridMultilevel"/>
    <w:tmpl w:val="B76E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3"/>
  </w:num>
  <w:num w:numId="8">
    <w:abstractNumId w:val="4"/>
  </w:num>
  <w:num w:numId="9">
    <w:abstractNumId w:val="7"/>
  </w:num>
  <w:num w:numId="10">
    <w:abstractNumId w:val="11"/>
  </w:num>
  <w:num w:numId="11">
    <w:abstractNumId w:val="1"/>
  </w:num>
  <w:num w:numId="12">
    <w:abstractNumId w:val="8"/>
  </w:num>
  <w:num w:numId="13">
    <w:abstractNumId w:val="5"/>
  </w:num>
  <w:num w:numId="14">
    <w:abstractNumId w:val="12"/>
  </w:num>
  <w:num w:numId="15">
    <w:abstractNumId w:val="6"/>
  </w:num>
  <w:num w:numId="16">
    <w:abstractNumId w:val="10"/>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activeWritingStyle w:appName="MSWord" w:lang="de-DE"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10945">
      <o:colormenu v:ext="edit" fillcolor="none [3212]"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98"/>
    <w:rsid w:val="000114FF"/>
    <w:rsid w:val="00011B06"/>
    <w:rsid w:val="000158C8"/>
    <w:rsid w:val="000279E4"/>
    <w:rsid w:val="00037C6B"/>
    <w:rsid w:val="00040164"/>
    <w:rsid w:val="000504B6"/>
    <w:rsid w:val="0005090D"/>
    <w:rsid w:val="000620A1"/>
    <w:rsid w:val="00063E6D"/>
    <w:rsid w:val="00065E26"/>
    <w:rsid w:val="00070D0B"/>
    <w:rsid w:val="00076D51"/>
    <w:rsid w:val="00077ECC"/>
    <w:rsid w:val="0008590B"/>
    <w:rsid w:val="000900F4"/>
    <w:rsid w:val="0009238A"/>
    <w:rsid w:val="000A392E"/>
    <w:rsid w:val="000A586F"/>
    <w:rsid w:val="000B2DC5"/>
    <w:rsid w:val="000B6FA1"/>
    <w:rsid w:val="000C04D6"/>
    <w:rsid w:val="000C1945"/>
    <w:rsid w:val="000D0AB7"/>
    <w:rsid w:val="000D2E8B"/>
    <w:rsid w:val="000D70F4"/>
    <w:rsid w:val="000E028E"/>
    <w:rsid w:val="000E6E5D"/>
    <w:rsid w:val="000F1A17"/>
    <w:rsid w:val="000F3247"/>
    <w:rsid w:val="000F5059"/>
    <w:rsid w:val="00104C75"/>
    <w:rsid w:val="00115C38"/>
    <w:rsid w:val="001231B5"/>
    <w:rsid w:val="0012471E"/>
    <w:rsid w:val="0012560E"/>
    <w:rsid w:val="0012706D"/>
    <w:rsid w:val="0013012A"/>
    <w:rsid w:val="001308DE"/>
    <w:rsid w:val="00140A92"/>
    <w:rsid w:val="001417A1"/>
    <w:rsid w:val="00142669"/>
    <w:rsid w:val="00142EB4"/>
    <w:rsid w:val="001451E7"/>
    <w:rsid w:val="00147472"/>
    <w:rsid w:val="00147A79"/>
    <w:rsid w:val="00153335"/>
    <w:rsid w:val="00163BF7"/>
    <w:rsid w:val="001A0AE5"/>
    <w:rsid w:val="001B51D2"/>
    <w:rsid w:val="001B589E"/>
    <w:rsid w:val="001D2F7F"/>
    <w:rsid w:val="001D4136"/>
    <w:rsid w:val="001E7F9D"/>
    <w:rsid w:val="00203156"/>
    <w:rsid w:val="0020399F"/>
    <w:rsid w:val="00205C06"/>
    <w:rsid w:val="002074BB"/>
    <w:rsid w:val="00212B0E"/>
    <w:rsid w:val="002131FE"/>
    <w:rsid w:val="00220FA4"/>
    <w:rsid w:val="00223C10"/>
    <w:rsid w:val="002243B0"/>
    <w:rsid w:val="0024559D"/>
    <w:rsid w:val="00263FF3"/>
    <w:rsid w:val="002679E3"/>
    <w:rsid w:val="00270E4C"/>
    <w:rsid w:val="00273BE6"/>
    <w:rsid w:val="00276409"/>
    <w:rsid w:val="002823B4"/>
    <w:rsid w:val="00284941"/>
    <w:rsid w:val="00285862"/>
    <w:rsid w:val="00293BF4"/>
    <w:rsid w:val="002A368B"/>
    <w:rsid w:val="002A5251"/>
    <w:rsid w:val="002B0202"/>
    <w:rsid w:val="002B6698"/>
    <w:rsid w:val="002C044E"/>
    <w:rsid w:val="002C1EC5"/>
    <w:rsid w:val="002D15AF"/>
    <w:rsid w:val="002F0ADB"/>
    <w:rsid w:val="0030415E"/>
    <w:rsid w:val="00321507"/>
    <w:rsid w:val="00324B37"/>
    <w:rsid w:val="00333D57"/>
    <w:rsid w:val="003352F5"/>
    <w:rsid w:val="00356EB4"/>
    <w:rsid w:val="003711C7"/>
    <w:rsid w:val="00382E44"/>
    <w:rsid w:val="00387DB6"/>
    <w:rsid w:val="003911F7"/>
    <w:rsid w:val="0039511E"/>
    <w:rsid w:val="003B136D"/>
    <w:rsid w:val="003B1981"/>
    <w:rsid w:val="003D37BC"/>
    <w:rsid w:val="003E2F9F"/>
    <w:rsid w:val="003F1327"/>
    <w:rsid w:val="003F1E44"/>
    <w:rsid w:val="003F2FB5"/>
    <w:rsid w:val="003F3212"/>
    <w:rsid w:val="003F7ACB"/>
    <w:rsid w:val="00410699"/>
    <w:rsid w:val="0041105E"/>
    <w:rsid w:val="0042134F"/>
    <w:rsid w:val="00427FE5"/>
    <w:rsid w:val="0043173C"/>
    <w:rsid w:val="004331F7"/>
    <w:rsid w:val="00436B50"/>
    <w:rsid w:val="004414E1"/>
    <w:rsid w:val="00461492"/>
    <w:rsid w:val="004643E8"/>
    <w:rsid w:val="00481699"/>
    <w:rsid w:val="004852A7"/>
    <w:rsid w:val="00485B75"/>
    <w:rsid w:val="00490DA2"/>
    <w:rsid w:val="004A106E"/>
    <w:rsid w:val="004A3679"/>
    <w:rsid w:val="004A789E"/>
    <w:rsid w:val="004A7B88"/>
    <w:rsid w:val="004B1C4F"/>
    <w:rsid w:val="004C2EE2"/>
    <w:rsid w:val="004D1656"/>
    <w:rsid w:val="004E24A1"/>
    <w:rsid w:val="004E76F2"/>
    <w:rsid w:val="004F21B2"/>
    <w:rsid w:val="005068AF"/>
    <w:rsid w:val="00514303"/>
    <w:rsid w:val="0052131F"/>
    <w:rsid w:val="00525C7D"/>
    <w:rsid w:val="0053156A"/>
    <w:rsid w:val="005315DE"/>
    <w:rsid w:val="00531A06"/>
    <w:rsid w:val="00541C87"/>
    <w:rsid w:val="00541F90"/>
    <w:rsid w:val="00547C6A"/>
    <w:rsid w:val="005540AB"/>
    <w:rsid w:val="00582E04"/>
    <w:rsid w:val="0058541B"/>
    <w:rsid w:val="005A0EFC"/>
    <w:rsid w:val="005B5671"/>
    <w:rsid w:val="005C7F78"/>
    <w:rsid w:val="005D2541"/>
    <w:rsid w:val="005E4260"/>
    <w:rsid w:val="005E6432"/>
    <w:rsid w:val="005F2CC6"/>
    <w:rsid w:val="005F7322"/>
    <w:rsid w:val="0061714E"/>
    <w:rsid w:val="00630F75"/>
    <w:rsid w:val="0063117C"/>
    <w:rsid w:val="0063139E"/>
    <w:rsid w:val="006411D4"/>
    <w:rsid w:val="00664705"/>
    <w:rsid w:val="0066623D"/>
    <w:rsid w:val="00670DED"/>
    <w:rsid w:val="0067259C"/>
    <w:rsid w:val="00682670"/>
    <w:rsid w:val="00684168"/>
    <w:rsid w:val="00685D46"/>
    <w:rsid w:val="006B4D4A"/>
    <w:rsid w:val="006F2099"/>
    <w:rsid w:val="00701334"/>
    <w:rsid w:val="00714A78"/>
    <w:rsid w:val="00722132"/>
    <w:rsid w:val="007238EF"/>
    <w:rsid w:val="0073102D"/>
    <w:rsid w:val="007348E0"/>
    <w:rsid w:val="0073498D"/>
    <w:rsid w:val="007377B5"/>
    <w:rsid w:val="007441A7"/>
    <w:rsid w:val="00754580"/>
    <w:rsid w:val="00756E70"/>
    <w:rsid w:val="007652BC"/>
    <w:rsid w:val="00772C35"/>
    <w:rsid w:val="007815C4"/>
    <w:rsid w:val="00786E30"/>
    <w:rsid w:val="00797DCA"/>
    <w:rsid w:val="007A143A"/>
    <w:rsid w:val="007A2B21"/>
    <w:rsid w:val="007A416D"/>
    <w:rsid w:val="007A6282"/>
    <w:rsid w:val="007C0688"/>
    <w:rsid w:val="007C4199"/>
    <w:rsid w:val="007C621D"/>
    <w:rsid w:val="007D1144"/>
    <w:rsid w:val="007D1EBA"/>
    <w:rsid w:val="007E12FB"/>
    <w:rsid w:val="007E474C"/>
    <w:rsid w:val="007F2343"/>
    <w:rsid w:val="00801DB0"/>
    <w:rsid w:val="00821561"/>
    <w:rsid w:val="00836EA8"/>
    <w:rsid w:val="00847130"/>
    <w:rsid w:val="008477F6"/>
    <w:rsid w:val="00880F5F"/>
    <w:rsid w:val="0088555B"/>
    <w:rsid w:val="00885606"/>
    <w:rsid w:val="00886F17"/>
    <w:rsid w:val="00895526"/>
    <w:rsid w:val="008A0BFE"/>
    <w:rsid w:val="008A1664"/>
    <w:rsid w:val="008B15AB"/>
    <w:rsid w:val="008B6422"/>
    <w:rsid w:val="008C1165"/>
    <w:rsid w:val="008C473D"/>
    <w:rsid w:val="008D2060"/>
    <w:rsid w:val="008D5EA0"/>
    <w:rsid w:val="008F35D2"/>
    <w:rsid w:val="00911BA0"/>
    <w:rsid w:val="00933A64"/>
    <w:rsid w:val="00934D9A"/>
    <w:rsid w:val="00942C5E"/>
    <w:rsid w:val="0095506B"/>
    <w:rsid w:val="00960B66"/>
    <w:rsid w:val="00965C1E"/>
    <w:rsid w:val="00972063"/>
    <w:rsid w:val="0098441A"/>
    <w:rsid w:val="0098469F"/>
    <w:rsid w:val="00990A86"/>
    <w:rsid w:val="00994CDE"/>
    <w:rsid w:val="009952BE"/>
    <w:rsid w:val="009C2076"/>
    <w:rsid w:val="009D025D"/>
    <w:rsid w:val="009D6741"/>
    <w:rsid w:val="009E04AB"/>
    <w:rsid w:val="00A015CE"/>
    <w:rsid w:val="00A04848"/>
    <w:rsid w:val="00A04D9A"/>
    <w:rsid w:val="00A11DF0"/>
    <w:rsid w:val="00A2312D"/>
    <w:rsid w:val="00A23CF5"/>
    <w:rsid w:val="00A27573"/>
    <w:rsid w:val="00A3053C"/>
    <w:rsid w:val="00A31229"/>
    <w:rsid w:val="00A35C5E"/>
    <w:rsid w:val="00A4171E"/>
    <w:rsid w:val="00A5074F"/>
    <w:rsid w:val="00A5214D"/>
    <w:rsid w:val="00A52E70"/>
    <w:rsid w:val="00A5401A"/>
    <w:rsid w:val="00A60A25"/>
    <w:rsid w:val="00A66D4D"/>
    <w:rsid w:val="00A67225"/>
    <w:rsid w:val="00A75F2B"/>
    <w:rsid w:val="00A8378D"/>
    <w:rsid w:val="00A8496D"/>
    <w:rsid w:val="00A93895"/>
    <w:rsid w:val="00A95CE6"/>
    <w:rsid w:val="00A96E0D"/>
    <w:rsid w:val="00AA629A"/>
    <w:rsid w:val="00AD4FB4"/>
    <w:rsid w:val="00AD6A4D"/>
    <w:rsid w:val="00AE18CA"/>
    <w:rsid w:val="00AF3C90"/>
    <w:rsid w:val="00B02415"/>
    <w:rsid w:val="00B24F9C"/>
    <w:rsid w:val="00B54CF1"/>
    <w:rsid w:val="00B65601"/>
    <w:rsid w:val="00B71A01"/>
    <w:rsid w:val="00B74F50"/>
    <w:rsid w:val="00B7697F"/>
    <w:rsid w:val="00B76A55"/>
    <w:rsid w:val="00B774CF"/>
    <w:rsid w:val="00B93696"/>
    <w:rsid w:val="00BA0B87"/>
    <w:rsid w:val="00BA69DC"/>
    <w:rsid w:val="00BA707D"/>
    <w:rsid w:val="00BB25D9"/>
    <w:rsid w:val="00BD24B4"/>
    <w:rsid w:val="00BE17B6"/>
    <w:rsid w:val="00BE1A71"/>
    <w:rsid w:val="00BE6B3B"/>
    <w:rsid w:val="00BF43BB"/>
    <w:rsid w:val="00BF7CA1"/>
    <w:rsid w:val="00C03CC8"/>
    <w:rsid w:val="00C17785"/>
    <w:rsid w:val="00C22995"/>
    <w:rsid w:val="00C3075B"/>
    <w:rsid w:val="00C34D63"/>
    <w:rsid w:val="00C36287"/>
    <w:rsid w:val="00C371EE"/>
    <w:rsid w:val="00C64975"/>
    <w:rsid w:val="00C67852"/>
    <w:rsid w:val="00C802FE"/>
    <w:rsid w:val="00C92345"/>
    <w:rsid w:val="00CA4B59"/>
    <w:rsid w:val="00CA7588"/>
    <w:rsid w:val="00CB3E11"/>
    <w:rsid w:val="00CC363C"/>
    <w:rsid w:val="00CC5EB3"/>
    <w:rsid w:val="00CD119C"/>
    <w:rsid w:val="00CD2875"/>
    <w:rsid w:val="00CD5EC1"/>
    <w:rsid w:val="00D00C9B"/>
    <w:rsid w:val="00D17463"/>
    <w:rsid w:val="00D21866"/>
    <w:rsid w:val="00D2552D"/>
    <w:rsid w:val="00D42A8C"/>
    <w:rsid w:val="00D528B5"/>
    <w:rsid w:val="00D76F12"/>
    <w:rsid w:val="00D87220"/>
    <w:rsid w:val="00D92931"/>
    <w:rsid w:val="00D939AE"/>
    <w:rsid w:val="00DA2B35"/>
    <w:rsid w:val="00DB0CFA"/>
    <w:rsid w:val="00DC3EBD"/>
    <w:rsid w:val="00DC74F1"/>
    <w:rsid w:val="00DD1184"/>
    <w:rsid w:val="00DD7836"/>
    <w:rsid w:val="00DE22A1"/>
    <w:rsid w:val="00DE6772"/>
    <w:rsid w:val="00E02F3E"/>
    <w:rsid w:val="00E038F3"/>
    <w:rsid w:val="00E10FAB"/>
    <w:rsid w:val="00E120CE"/>
    <w:rsid w:val="00E17F3C"/>
    <w:rsid w:val="00E214CC"/>
    <w:rsid w:val="00E241DC"/>
    <w:rsid w:val="00E2653F"/>
    <w:rsid w:val="00E26DB4"/>
    <w:rsid w:val="00E30CBB"/>
    <w:rsid w:val="00E41B61"/>
    <w:rsid w:val="00E54439"/>
    <w:rsid w:val="00E67DA5"/>
    <w:rsid w:val="00E67E6B"/>
    <w:rsid w:val="00E74B0F"/>
    <w:rsid w:val="00E9305E"/>
    <w:rsid w:val="00E939F4"/>
    <w:rsid w:val="00EA071F"/>
    <w:rsid w:val="00EA5F9A"/>
    <w:rsid w:val="00EB2218"/>
    <w:rsid w:val="00EB64E4"/>
    <w:rsid w:val="00EC692E"/>
    <w:rsid w:val="00EC7DDB"/>
    <w:rsid w:val="00EE763B"/>
    <w:rsid w:val="00EF28E3"/>
    <w:rsid w:val="00EF32CA"/>
    <w:rsid w:val="00EF714D"/>
    <w:rsid w:val="00F1181C"/>
    <w:rsid w:val="00F31B0E"/>
    <w:rsid w:val="00F34E64"/>
    <w:rsid w:val="00F35AEB"/>
    <w:rsid w:val="00F36BD4"/>
    <w:rsid w:val="00F50CBB"/>
    <w:rsid w:val="00F70DC6"/>
    <w:rsid w:val="00F7590C"/>
    <w:rsid w:val="00F82C79"/>
    <w:rsid w:val="00F95D8A"/>
    <w:rsid w:val="00FB5DF8"/>
    <w:rsid w:val="00FC0013"/>
    <w:rsid w:val="00FC313E"/>
    <w:rsid w:val="00FF42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colormenu v:ext="edit" fillcolor="none [3212]" strokecolor="none"/>
    </o:shapedefaults>
    <o:shapelayout v:ext="edit">
      <o:idmap v:ext="edit" data="1"/>
    </o:shapelayout>
  </w:shapeDefaults>
  <w:decimalSymbol w:val="."/>
  <w:listSeparator w:val=","/>
  <w15:docId w15:val="{61D9C169-F14D-4948-A2DD-B485C00E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4F1"/>
    <w:pPr>
      <w:tabs>
        <w:tab w:val="left" w:pos="794"/>
        <w:tab w:val="left" w:pos="1191"/>
        <w:tab w:val="left" w:pos="1588"/>
        <w:tab w:val="left" w:pos="1985"/>
      </w:tabs>
      <w:overflowPunct w:val="0"/>
      <w:autoSpaceDE w:val="0"/>
      <w:autoSpaceDN w:val="0"/>
      <w:adjustRightInd w:val="0"/>
      <w:spacing w:before="120"/>
      <w:textAlignment w:val="baseline"/>
    </w:pPr>
    <w:rPr>
      <w:sz w:val="24"/>
      <w:lang w:val="en-GB"/>
    </w:rPr>
  </w:style>
  <w:style w:type="paragraph" w:styleId="Heading1">
    <w:name w:val="heading 1"/>
    <w:basedOn w:val="Normal"/>
    <w:next w:val="Normal"/>
    <w:link w:val="Heading1Char"/>
    <w:qFormat/>
    <w:rsid w:val="00DC74F1"/>
    <w:pPr>
      <w:keepNext/>
      <w:keepLines/>
      <w:spacing w:before="360"/>
      <w:ind w:left="794" w:hanging="794"/>
      <w:outlineLvl w:val="0"/>
    </w:pPr>
    <w:rPr>
      <w:b/>
    </w:rPr>
  </w:style>
  <w:style w:type="paragraph" w:styleId="Heading2">
    <w:name w:val="heading 2"/>
    <w:basedOn w:val="Heading1"/>
    <w:next w:val="Normal"/>
    <w:link w:val="Heading2Char"/>
    <w:qFormat/>
    <w:rsid w:val="00DC74F1"/>
    <w:pPr>
      <w:spacing w:before="240"/>
      <w:outlineLvl w:val="1"/>
    </w:pPr>
  </w:style>
  <w:style w:type="paragraph" w:styleId="Heading3">
    <w:name w:val="heading 3"/>
    <w:basedOn w:val="Heading1"/>
    <w:next w:val="Normal"/>
    <w:link w:val="Heading3Char"/>
    <w:qFormat/>
    <w:rsid w:val="00DC74F1"/>
    <w:pPr>
      <w:spacing w:before="160"/>
      <w:outlineLvl w:val="2"/>
    </w:pPr>
  </w:style>
  <w:style w:type="paragraph" w:styleId="Heading4">
    <w:name w:val="heading 4"/>
    <w:basedOn w:val="Heading3"/>
    <w:next w:val="Normal"/>
    <w:link w:val="Heading4Char"/>
    <w:qFormat/>
    <w:rsid w:val="00DC74F1"/>
    <w:pPr>
      <w:tabs>
        <w:tab w:val="clear" w:pos="794"/>
        <w:tab w:val="left" w:pos="1021"/>
      </w:tabs>
      <w:ind w:left="1021" w:hanging="1021"/>
      <w:outlineLvl w:val="3"/>
    </w:pPr>
  </w:style>
  <w:style w:type="paragraph" w:styleId="Heading5">
    <w:name w:val="heading 5"/>
    <w:basedOn w:val="Heading4"/>
    <w:next w:val="Normal"/>
    <w:link w:val="Heading5Char"/>
    <w:qFormat/>
    <w:rsid w:val="00DC74F1"/>
    <w:pPr>
      <w:outlineLvl w:val="4"/>
    </w:pPr>
  </w:style>
  <w:style w:type="paragraph" w:styleId="Heading6">
    <w:name w:val="heading 6"/>
    <w:basedOn w:val="Heading4"/>
    <w:next w:val="Normal"/>
    <w:link w:val="Heading6Char"/>
    <w:qFormat/>
    <w:rsid w:val="00DC74F1"/>
    <w:pPr>
      <w:tabs>
        <w:tab w:val="clear" w:pos="1021"/>
        <w:tab w:val="clear" w:pos="1191"/>
      </w:tabs>
      <w:ind w:left="1588" w:hanging="1588"/>
      <w:outlineLvl w:val="5"/>
    </w:pPr>
  </w:style>
  <w:style w:type="paragraph" w:styleId="Heading7">
    <w:name w:val="heading 7"/>
    <w:basedOn w:val="Heading6"/>
    <w:next w:val="Normal"/>
    <w:link w:val="Heading7Char"/>
    <w:qFormat/>
    <w:rsid w:val="00DC74F1"/>
    <w:pPr>
      <w:outlineLvl w:val="6"/>
    </w:pPr>
  </w:style>
  <w:style w:type="paragraph" w:styleId="Heading8">
    <w:name w:val="heading 8"/>
    <w:basedOn w:val="Heading6"/>
    <w:next w:val="Normal"/>
    <w:link w:val="Heading8Char"/>
    <w:qFormat/>
    <w:rsid w:val="00DC74F1"/>
    <w:pPr>
      <w:outlineLvl w:val="7"/>
    </w:pPr>
  </w:style>
  <w:style w:type="paragraph" w:styleId="Heading9">
    <w:name w:val="heading 9"/>
    <w:basedOn w:val="Heading6"/>
    <w:next w:val="Normal"/>
    <w:link w:val="Heading9Char"/>
    <w:qFormat/>
    <w:rsid w:val="00DC74F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136D"/>
    <w:rPr>
      <w:b/>
      <w:sz w:val="24"/>
      <w:lang w:val="en-GB"/>
    </w:rPr>
  </w:style>
  <w:style w:type="character" w:customStyle="1" w:styleId="Heading2Char">
    <w:name w:val="Heading 2 Char"/>
    <w:basedOn w:val="DefaultParagraphFont"/>
    <w:link w:val="Heading2"/>
    <w:rsid w:val="003B136D"/>
    <w:rPr>
      <w:b/>
      <w:sz w:val="24"/>
      <w:lang w:val="en-GB"/>
    </w:rPr>
  </w:style>
  <w:style w:type="character" w:customStyle="1" w:styleId="Heading3Char">
    <w:name w:val="Heading 3 Char"/>
    <w:basedOn w:val="DefaultParagraphFont"/>
    <w:link w:val="Heading3"/>
    <w:rsid w:val="003B136D"/>
    <w:rPr>
      <w:b/>
      <w:sz w:val="24"/>
      <w:lang w:val="en-GB"/>
    </w:rPr>
  </w:style>
  <w:style w:type="character" w:customStyle="1" w:styleId="Heading4Char">
    <w:name w:val="Heading 4 Char"/>
    <w:basedOn w:val="DefaultParagraphFont"/>
    <w:link w:val="Heading4"/>
    <w:rsid w:val="003B136D"/>
    <w:rPr>
      <w:b/>
      <w:sz w:val="24"/>
      <w:lang w:val="en-GB"/>
    </w:rPr>
  </w:style>
  <w:style w:type="character" w:customStyle="1" w:styleId="Heading5Char">
    <w:name w:val="Heading 5 Char"/>
    <w:basedOn w:val="DefaultParagraphFont"/>
    <w:link w:val="Heading5"/>
    <w:rsid w:val="003B136D"/>
    <w:rPr>
      <w:b/>
      <w:sz w:val="24"/>
      <w:lang w:val="en-GB"/>
    </w:rPr>
  </w:style>
  <w:style w:type="character" w:customStyle="1" w:styleId="Heading6Char">
    <w:name w:val="Heading 6 Char"/>
    <w:basedOn w:val="DefaultParagraphFont"/>
    <w:link w:val="Heading6"/>
    <w:rsid w:val="003B136D"/>
    <w:rPr>
      <w:b/>
      <w:sz w:val="24"/>
      <w:lang w:val="en-GB"/>
    </w:rPr>
  </w:style>
  <w:style w:type="character" w:customStyle="1" w:styleId="Heading7Char">
    <w:name w:val="Heading 7 Char"/>
    <w:basedOn w:val="DefaultParagraphFont"/>
    <w:link w:val="Heading7"/>
    <w:rsid w:val="003B136D"/>
    <w:rPr>
      <w:b/>
      <w:sz w:val="24"/>
      <w:lang w:val="en-GB"/>
    </w:rPr>
  </w:style>
  <w:style w:type="character" w:customStyle="1" w:styleId="Heading8Char">
    <w:name w:val="Heading 8 Char"/>
    <w:basedOn w:val="DefaultParagraphFont"/>
    <w:link w:val="Heading8"/>
    <w:rsid w:val="003B136D"/>
    <w:rPr>
      <w:b/>
      <w:sz w:val="24"/>
      <w:lang w:val="en-GB"/>
    </w:rPr>
  </w:style>
  <w:style w:type="character" w:customStyle="1" w:styleId="Heading9Char">
    <w:name w:val="Heading 9 Char"/>
    <w:basedOn w:val="DefaultParagraphFont"/>
    <w:link w:val="Heading9"/>
    <w:rsid w:val="003B136D"/>
    <w:rPr>
      <w:b/>
      <w:sz w:val="24"/>
      <w:lang w:val="en-GB"/>
    </w:rPr>
  </w:style>
  <w:style w:type="paragraph" w:customStyle="1" w:styleId="AnnexNotitle">
    <w:name w:val="Annex_No &amp; title"/>
    <w:basedOn w:val="Normal"/>
    <w:next w:val="Normal"/>
    <w:rsid w:val="00DC74F1"/>
    <w:pPr>
      <w:keepNext/>
      <w:keepLines/>
      <w:spacing w:before="480"/>
      <w:jc w:val="center"/>
    </w:pPr>
    <w:rPr>
      <w:b/>
      <w:sz w:val="28"/>
    </w:rPr>
  </w:style>
  <w:style w:type="character" w:customStyle="1" w:styleId="Appdef">
    <w:name w:val="App_def"/>
    <w:rsid w:val="00DC74F1"/>
    <w:rPr>
      <w:rFonts w:ascii="Times New Roman" w:hAnsi="Times New Roman"/>
      <w:b/>
    </w:rPr>
  </w:style>
  <w:style w:type="character" w:customStyle="1" w:styleId="Appref">
    <w:name w:val="App_ref"/>
    <w:basedOn w:val="DefaultParagraphFont"/>
    <w:rsid w:val="00DC74F1"/>
  </w:style>
  <w:style w:type="paragraph" w:customStyle="1" w:styleId="AppendixNotitle">
    <w:name w:val="Appendix_No &amp; title"/>
    <w:basedOn w:val="AnnexNotitle"/>
    <w:next w:val="Normal"/>
    <w:rsid w:val="00DC74F1"/>
  </w:style>
  <w:style w:type="character" w:customStyle="1" w:styleId="Artdef">
    <w:name w:val="Art_def"/>
    <w:rsid w:val="00DC74F1"/>
    <w:rPr>
      <w:rFonts w:ascii="Times New Roman" w:hAnsi="Times New Roman"/>
      <w:b/>
    </w:rPr>
  </w:style>
  <w:style w:type="paragraph" w:customStyle="1" w:styleId="Artheading">
    <w:name w:val="Art_heading"/>
    <w:basedOn w:val="Normal"/>
    <w:next w:val="Normal"/>
    <w:rsid w:val="00DC74F1"/>
    <w:pPr>
      <w:spacing w:before="480"/>
      <w:jc w:val="center"/>
    </w:pPr>
    <w:rPr>
      <w:b/>
      <w:sz w:val="28"/>
    </w:rPr>
  </w:style>
  <w:style w:type="paragraph" w:customStyle="1" w:styleId="ArtNo">
    <w:name w:val="Art_No"/>
    <w:basedOn w:val="Normal"/>
    <w:next w:val="Normal"/>
    <w:rsid w:val="00DC74F1"/>
    <w:pPr>
      <w:keepNext/>
      <w:keepLines/>
      <w:spacing w:before="480"/>
      <w:jc w:val="center"/>
    </w:pPr>
    <w:rPr>
      <w:caps/>
      <w:sz w:val="28"/>
    </w:rPr>
  </w:style>
  <w:style w:type="character" w:customStyle="1" w:styleId="Artref">
    <w:name w:val="Art_ref"/>
    <w:basedOn w:val="DefaultParagraphFont"/>
    <w:rsid w:val="00DC74F1"/>
  </w:style>
  <w:style w:type="paragraph" w:customStyle="1" w:styleId="Arttitle">
    <w:name w:val="Art_title"/>
    <w:basedOn w:val="Normal"/>
    <w:next w:val="Normal"/>
    <w:rsid w:val="00DC74F1"/>
    <w:pPr>
      <w:keepNext/>
      <w:keepLines/>
      <w:spacing w:before="240"/>
      <w:jc w:val="center"/>
    </w:pPr>
    <w:rPr>
      <w:b/>
      <w:sz w:val="28"/>
    </w:rPr>
  </w:style>
  <w:style w:type="paragraph" w:customStyle="1" w:styleId="ASN1">
    <w:name w:val="ASN.1"/>
    <w:basedOn w:val="Normal"/>
    <w:rsid w:val="00DC74F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DC74F1"/>
    <w:pPr>
      <w:keepNext/>
      <w:keepLines/>
      <w:spacing w:before="160"/>
      <w:ind w:left="794"/>
    </w:pPr>
    <w:rPr>
      <w:i/>
    </w:rPr>
  </w:style>
  <w:style w:type="paragraph" w:customStyle="1" w:styleId="ChapNo">
    <w:name w:val="Chap_No"/>
    <w:basedOn w:val="Normal"/>
    <w:next w:val="Normal"/>
    <w:rsid w:val="00DC74F1"/>
    <w:pPr>
      <w:keepNext/>
      <w:keepLines/>
      <w:spacing w:before="480"/>
      <w:jc w:val="center"/>
    </w:pPr>
    <w:rPr>
      <w:b/>
      <w:caps/>
      <w:sz w:val="28"/>
    </w:rPr>
  </w:style>
  <w:style w:type="paragraph" w:customStyle="1" w:styleId="Chaptitle">
    <w:name w:val="Chap_title"/>
    <w:basedOn w:val="Normal"/>
    <w:next w:val="Normal"/>
    <w:rsid w:val="00DC74F1"/>
    <w:pPr>
      <w:keepNext/>
      <w:keepLines/>
      <w:spacing w:before="240"/>
      <w:jc w:val="center"/>
    </w:pPr>
    <w:rPr>
      <w:b/>
      <w:sz w:val="28"/>
    </w:rPr>
  </w:style>
  <w:style w:type="character" w:styleId="EndnoteReference">
    <w:name w:val="endnote reference"/>
    <w:rsid w:val="00DC74F1"/>
    <w:rPr>
      <w:vertAlign w:val="superscript"/>
    </w:rPr>
  </w:style>
  <w:style w:type="paragraph" w:customStyle="1" w:styleId="enumlev1">
    <w:name w:val="enumlev1"/>
    <w:basedOn w:val="Normal"/>
    <w:rsid w:val="00DC74F1"/>
    <w:pPr>
      <w:spacing w:before="80"/>
      <w:ind w:left="794" w:hanging="794"/>
    </w:pPr>
  </w:style>
  <w:style w:type="paragraph" w:customStyle="1" w:styleId="enumlev2">
    <w:name w:val="enumlev2"/>
    <w:basedOn w:val="enumlev1"/>
    <w:rsid w:val="00DC74F1"/>
    <w:pPr>
      <w:ind w:left="1191" w:hanging="397"/>
    </w:pPr>
  </w:style>
  <w:style w:type="paragraph" w:customStyle="1" w:styleId="enumlev3">
    <w:name w:val="enumlev3"/>
    <w:basedOn w:val="enumlev2"/>
    <w:rsid w:val="00DC74F1"/>
    <w:pPr>
      <w:ind w:left="1588"/>
    </w:pPr>
  </w:style>
  <w:style w:type="paragraph" w:customStyle="1" w:styleId="Equation">
    <w:name w:val="Equation"/>
    <w:basedOn w:val="Normal"/>
    <w:rsid w:val="00DC74F1"/>
    <w:pPr>
      <w:tabs>
        <w:tab w:val="clear" w:pos="1191"/>
        <w:tab w:val="clear" w:pos="1588"/>
        <w:tab w:val="clear" w:pos="1985"/>
        <w:tab w:val="center" w:pos="4820"/>
        <w:tab w:val="right" w:pos="9639"/>
      </w:tabs>
    </w:pPr>
  </w:style>
  <w:style w:type="paragraph" w:customStyle="1" w:styleId="Equationlegend">
    <w:name w:val="Equation_legend"/>
    <w:basedOn w:val="Normal"/>
    <w:rsid w:val="00DC74F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DC74F1"/>
    <w:pPr>
      <w:keepNext/>
      <w:keepLines/>
      <w:spacing w:before="240" w:after="120"/>
      <w:jc w:val="center"/>
    </w:pPr>
  </w:style>
  <w:style w:type="paragraph" w:customStyle="1" w:styleId="Figurelegend">
    <w:name w:val="Figure_legend"/>
    <w:basedOn w:val="Normal"/>
    <w:rsid w:val="00DC74F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DC74F1"/>
    <w:pPr>
      <w:keepLines/>
      <w:spacing w:before="240" w:after="120"/>
      <w:jc w:val="center"/>
    </w:pPr>
    <w:rPr>
      <w:b/>
    </w:rPr>
  </w:style>
  <w:style w:type="paragraph" w:customStyle="1" w:styleId="FigureNoBR">
    <w:name w:val="Figure_No_BR"/>
    <w:basedOn w:val="Normal"/>
    <w:next w:val="Normal"/>
    <w:rsid w:val="00DC74F1"/>
    <w:pPr>
      <w:keepNext/>
      <w:keepLines/>
      <w:spacing w:before="480" w:after="120"/>
      <w:jc w:val="center"/>
    </w:pPr>
    <w:rPr>
      <w:caps/>
    </w:rPr>
  </w:style>
  <w:style w:type="paragraph" w:customStyle="1" w:styleId="TabletitleBR">
    <w:name w:val="Table_title_BR"/>
    <w:basedOn w:val="Normal"/>
    <w:next w:val="Normal"/>
    <w:rsid w:val="00DC74F1"/>
    <w:pPr>
      <w:keepNext/>
      <w:keepLines/>
      <w:spacing w:before="0" w:after="120"/>
      <w:jc w:val="center"/>
    </w:pPr>
    <w:rPr>
      <w:b/>
    </w:rPr>
  </w:style>
  <w:style w:type="paragraph" w:customStyle="1" w:styleId="FiguretitleBR">
    <w:name w:val="Figure_title_BR"/>
    <w:basedOn w:val="TabletitleBR"/>
    <w:next w:val="Normal"/>
    <w:rsid w:val="00DC74F1"/>
    <w:pPr>
      <w:keepNext w:val="0"/>
      <w:spacing w:after="480"/>
    </w:pPr>
  </w:style>
  <w:style w:type="paragraph" w:customStyle="1" w:styleId="Figurewithouttitle">
    <w:name w:val="Figure_without_title"/>
    <w:basedOn w:val="Normal"/>
    <w:next w:val="Normal"/>
    <w:rsid w:val="00DC74F1"/>
    <w:pPr>
      <w:keepLines/>
      <w:spacing w:before="240" w:after="120"/>
      <w:jc w:val="center"/>
    </w:pPr>
  </w:style>
  <w:style w:type="paragraph" w:styleId="Footer">
    <w:name w:val="footer"/>
    <w:basedOn w:val="Normal"/>
    <w:link w:val="FooterChar"/>
    <w:rsid w:val="00DC74F1"/>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basedOn w:val="DefaultParagraphFont"/>
    <w:link w:val="Footer"/>
    <w:rsid w:val="003B136D"/>
    <w:rPr>
      <w:caps/>
      <w:noProof/>
      <w:sz w:val="16"/>
      <w:lang w:val="en-GB"/>
    </w:rPr>
  </w:style>
  <w:style w:type="paragraph" w:customStyle="1" w:styleId="FirstFooter">
    <w:name w:val="FirstFooter"/>
    <w:basedOn w:val="Footer"/>
    <w:rsid w:val="00DC74F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DC74F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DC74F1"/>
    <w:rPr>
      <w:position w:val="6"/>
      <w:sz w:val="18"/>
    </w:rPr>
  </w:style>
  <w:style w:type="paragraph" w:customStyle="1" w:styleId="Note">
    <w:name w:val="Note"/>
    <w:basedOn w:val="Normal"/>
    <w:rsid w:val="00DC74F1"/>
    <w:pPr>
      <w:spacing w:before="80"/>
    </w:pPr>
  </w:style>
  <w:style w:type="paragraph" w:styleId="FootnoteText">
    <w:name w:val="footnote text"/>
    <w:basedOn w:val="Note"/>
    <w:link w:val="FootnoteTextChar"/>
    <w:semiHidden/>
    <w:rsid w:val="00DC74F1"/>
    <w:pPr>
      <w:keepLines/>
      <w:tabs>
        <w:tab w:val="left" w:pos="255"/>
      </w:tabs>
      <w:ind w:left="255" w:hanging="255"/>
    </w:pPr>
  </w:style>
  <w:style w:type="character" w:customStyle="1" w:styleId="FootnoteTextChar">
    <w:name w:val="Footnote Text Char"/>
    <w:basedOn w:val="DefaultParagraphFont"/>
    <w:link w:val="FootnoteText"/>
    <w:semiHidden/>
    <w:rsid w:val="003B136D"/>
    <w:rPr>
      <w:sz w:val="24"/>
      <w:lang w:val="en-GB"/>
    </w:rPr>
  </w:style>
  <w:style w:type="paragraph" w:customStyle="1" w:styleId="Formal">
    <w:name w:val="Formal"/>
    <w:basedOn w:val="ASN1"/>
    <w:rsid w:val="00DC74F1"/>
    <w:rPr>
      <w:b w:val="0"/>
    </w:rPr>
  </w:style>
  <w:style w:type="paragraph" w:styleId="Header">
    <w:name w:val="header"/>
    <w:basedOn w:val="Normal"/>
    <w:link w:val="HeaderChar"/>
    <w:rsid w:val="00DC74F1"/>
    <w:pPr>
      <w:tabs>
        <w:tab w:val="clear" w:pos="794"/>
        <w:tab w:val="clear" w:pos="1191"/>
        <w:tab w:val="clear" w:pos="1588"/>
        <w:tab w:val="clear" w:pos="1985"/>
      </w:tabs>
      <w:spacing w:before="0"/>
      <w:jc w:val="center"/>
    </w:pPr>
    <w:rPr>
      <w:sz w:val="18"/>
    </w:rPr>
  </w:style>
  <w:style w:type="character" w:customStyle="1" w:styleId="HeaderChar">
    <w:name w:val="Header Char"/>
    <w:basedOn w:val="DefaultParagraphFont"/>
    <w:link w:val="Header"/>
    <w:rsid w:val="003B136D"/>
    <w:rPr>
      <w:sz w:val="18"/>
      <w:lang w:val="en-GB"/>
    </w:rPr>
  </w:style>
  <w:style w:type="paragraph" w:customStyle="1" w:styleId="Headingb">
    <w:name w:val="Heading_b"/>
    <w:basedOn w:val="Normal"/>
    <w:next w:val="Normal"/>
    <w:rsid w:val="00DC74F1"/>
    <w:pPr>
      <w:keepNext/>
      <w:spacing w:before="160"/>
    </w:pPr>
    <w:rPr>
      <w:b/>
    </w:rPr>
  </w:style>
  <w:style w:type="paragraph" w:customStyle="1" w:styleId="Headingi">
    <w:name w:val="Heading_i"/>
    <w:basedOn w:val="Normal"/>
    <w:next w:val="Normal"/>
    <w:rsid w:val="00DC74F1"/>
    <w:pPr>
      <w:keepNext/>
      <w:spacing w:before="160"/>
    </w:pPr>
    <w:rPr>
      <w:i/>
    </w:rPr>
  </w:style>
  <w:style w:type="paragraph" w:styleId="Index1">
    <w:name w:val="index 1"/>
    <w:basedOn w:val="Normal"/>
    <w:next w:val="Normal"/>
    <w:semiHidden/>
    <w:rsid w:val="00DC74F1"/>
  </w:style>
  <w:style w:type="paragraph" w:styleId="Index2">
    <w:name w:val="index 2"/>
    <w:basedOn w:val="Normal"/>
    <w:next w:val="Normal"/>
    <w:semiHidden/>
    <w:rsid w:val="00DC74F1"/>
    <w:pPr>
      <w:ind w:left="283"/>
    </w:pPr>
  </w:style>
  <w:style w:type="paragraph" w:styleId="Index3">
    <w:name w:val="index 3"/>
    <w:basedOn w:val="Normal"/>
    <w:next w:val="Normal"/>
    <w:semiHidden/>
    <w:rsid w:val="00DC74F1"/>
    <w:pPr>
      <w:ind w:left="566"/>
    </w:pPr>
  </w:style>
  <w:style w:type="paragraph" w:customStyle="1" w:styleId="Normalaftertitle">
    <w:name w:val="Normal_after_title"/>
    <w:basedOn w:val="Normal"/>
    <w:next w:val="Normal"/>
    <w:rsid w:val="00DC74F1"/>
    <w:pPr>
      <w:spacing w:before="360"/>
    </w:pPr>
  </w:style>
  <w:style w:type="character" w:styleId="PageNumber">
    <w:name w:val="page number"/>
    <w:basedOn w:val="DefaultParagraphFont"/>
    <w:rsid w:val="00DC74F1"/>
  </w:style>
  <w:style w:type="paragraph" w:customStyle="1" w:styleId="PartNo">
    <w:name w:val="Part_No"/>
    <w:basedOn w:val="Normal"/>
    <w:next w:val="Normal"/>
    <w:rsid w:val="00DC74F1"/>
    <w:pPr>
      <w:keepNext/>
      <w:keepLines/>
      <w:spacing w:before="480" w:after="80"/>
      <w:jc w:val="center"/>
    </w:pPr>
    <w:rPr>
      <w:caps/>
      <w:sz w:val="28"/>
    </w:rPr>
  </w:style>
  <w:style w:type="paragraph" w:customStyle="1" w:styleId="Partref">
    <w:name w:val="Part_ref"/>
    <w:basedOn w:val="Normal"/>
    <w:next w:val="Normal"/>
    <w:rsid w:val="00DC74F1"/>
    <w:pPr>
      <w:keepNext/>
      <w:keepLines/>
      <w:spacing w:before="280"/>
      <w:jc w:val="center"/>
    </w:pPr>
  </w:style>
  <w:style w:type="paragraph" w:customStyle="1" w:styleId="Parttitle">
    <w:name w:val="Part_title"/>
    <w:basedOn w:val="Normal"/>
    <w:next w:val="Normalaftertitle"/>
    <w:rsid w:val="00DC74F1"/>
    <w:pPr>
      <w:keepNext/>
      <w:keepLines/>
      <w:spacing w:before="240" w:after="280"/>
      <w:jc w:val="center"/>
    </w:pPr>
    <w:rPr>
      <w:b/>
      <w:sz w:val="28"/>
    </w:rPr>
  </w:style>
  <w:style w:type="paragraph" w:customStyle="1" w:styleId="Recdate">
    <w:name w:val="Rec_date"/>
    <w:basedOn w:val="Normal"/>
    <w:next w:val="Normalaftertitle"/>
    <w:rsid w:val="00DC74F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DC74F1"/>
  </w:style>
  <w:style w:type="paragraph" w:customStyle="1" w:styleId="RecNo">
    <w:name w:val="Rec_No"/>
    <w:basedOn w:val="Normal"/>
    <w:next w:val="Normal"/>
    <w:rsid w:val="00DC74F1"/>
    <w:pPr>
      <w:keepNext/>
      <w:keepLines/>
      <w:spacing w:before="0"/>
    </w:pPr>
    <w:rPr>
      <w:b/>
      <w:sz w:val="28"/>
    </w:rPr>
  </w:style>
  <w:style w:type="paragraph" w:customStyle="1" w:styleId="QuestionNo">
    <w:name w:val="Question_No"/>
    <w:basedOn w:val="RecNo"/>
    <w:next w:val="Normal"/>
    <w:rsid w:val="00DC74F1"/>
  </w:style>
  <w:style w:type="paragraph" w:customStyle="1" w:styleId="RecNoBR">
    <w:name w:val="Rec_No_BR"/>
    <w:basedOn w:val="Normal"/>
    <w:next w:val="Normal"/>
    <w:rsid w:val="00DC74F1"/>
    <w:pPr>
      <w:keepNext/>
      <w:keepLines/>
      <w:spacing w:before="480"/>
      <w:jc w:val="center"/>
    </w:pPr>
    <w:rPr>
      <w:caps/>
      <w:sz w:val="28"/>
    </w:rPr>
  </w:style>
  <w:style w:type="paragraph" w:customStyle="1" w:styleId="QuestionNoBR">
    <w:name w:val="Question_No_BR"/>
    <w:basedOn w:val="RecNoBR"/>
    <w:next w:val="Normal"/>
    <w:rsid w:val="00DC74F1"/>
  </w:style>
  <w:style w:type="paragraph" w:customStyle="1" w:styleId="Recref">
    <w:name w:val="Rec_ref"/>
    <w:basedOn w:val="Normal"/>
    <w:next w:val="Recdate"/>
    <w:rsid w:val="00DC74F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DC74F1"/>
  </w:style>
  <w:style w:type="paragraph" w:customStyle="1" w:styleId="Rectitle">
    <w:name w:val="Rec_title"/>
    <w:basedOn w:val="Normal"/>
    <w:next w:val="Normalaftertitle"/>
    <w:rsid w:val="00DC74F1"/>
    <w:pPr>
      <w:keepNext/>
      <w:keepLines/>
      <w:spacing w:before="360"/>
      <w:jc w:val="center"/>
    </w:pPr>
    <w:rPr>
      <w:b/>
      <w:sz w:val="28"/>
    </w:rPr>
  </w:style>
  <w:style w:type="paragraph" w:customStyle="1" w:styleId="Questiontitle">
    <w:name w:val="Question_title"/>
    <w:basedOn w:val="Rectitle"/>
    <w:next w:val="Questionref"/>
    <w:rsid w:val="00DC74F1"/>
  </w:style>
  <w:style w:type="character" w:customStyle="1" w:styleId="Recdef">
    <w:name w:val="Rec_def"/>
    <w:rsid w:val="00DC74F1"/>
    <w:rPr>
      <w:b/>
    </w:rPr>
  </w:style>
  <w:style w:type="paragraph" w:customStyle="1" w:styleId="Reftext">
    <w:name w:val="Ref_text"/>
    <w:basedOn w:val="Normal"/>
    <w:rsid w:val="00DC74F1"/>
    <w:pPr>
      <w:ind w:left="794" w:hanging="794"/>
    </w:pPr>
  </w:style>
  <w:style w:type="paragraph" w:customStyle="1" w:styleId="Reftitle">
    <w:name w:val="Ref_title"/>
    <w:basedOn w:val="Normal"/>
    <w:next w:val="Reftext"/>
    <w:rsid w:val="00DC74F1"/>
    <w:pPr>
      <w:spacing w:before="480"/>
      <w:jc w:val="center"/>
    </w:pPr>
    <w:rPr>
      <w:b/>
    </w:rPr>
  </w:style>
  <w:style w:type="paragraph" w:customStyle="1" w:styleId="Repdate">
    <w:name w:val="Rep_date"/>
    <w:basedOn w:val="Recdate"/>
    <w:next w:val="Normalaftertitle"/>
    <w:rsid w:val="00DC74F1"/>
  </w:style>
  <w:style w:type="paragraph" w:customStyle="1" w:styleId="RepNo">
    <w:name w:val="Rep_No"/>
    <w:basedOn w:val="RecNo"/>
    <w:next w:val="Normal"/>
    <w:rsid w:val="00DC74F1"/>
  </w:style>
  <w:style w:type="paragraph" w:customStyle="1" w:styleId="RepNoBR">
    <w:name w:val="Rep_No_BR"/>
    <w:basedOn w:val="RecNoBR"/>
    <w:next w:val="Normal"/>
    <w:rsid w:val="00DC74F1"/>
  </w:style>
  <w:style w:type="paragraph" w:customStyle="1" w:styleId="Repref">
    <w:name w:val="Rep_ref"/>
    <w:basedOn w:val="Recref"/>
    <w:next w:val="Repdate"/>
    <w:rsid w:val="00DC74F1"/>
  </w:style>
  <w:style w:type="paragraph" w:customStyle="1" w:styleId="Reptitle">
    <w:name w:val="Rep_title"/>
    <w:basedOn w:val="Rectitle"/>
    <w:next w:val="Repref"/>
    <w:rsid w:val="00DC74F1"/>
  </w:style>
  <w:style w:type="paragraph" w:customStyle="1" w:styleId="Resdate">
    <w:name w:val="Res_date"/>
    <w:basedOn w:val="Recdate"/>
    <w:next w:val="Normalaftertitle"/>
    <w:rsid w:val="00DC74F1"/>
  </w:style>
  <w:style w:type="character" w:customStyle="1" w:styleId="Resdef">
    <w:name w:val="Res_def"/>
    <w:rsid w:val="00DC74F1"/>
    <w:rPr>
      <w:rFonts w:ascii="Times New Roman" w:hAnsi="Times New Roman"/>
      <w:b/>
    </w:rPr>
  </w:style>
  <w:style w:type="paragraph" w:customStyle="1" w:styleId="ResNo">
    <w:name w:val="Res_No"/>
    <w:basedOn w:val="RecNo"/>
    <w:next w:val="Normal"/>
    <w:rsid w:val="00DC74F1"/>
  </w:style>
  <w:style w:type="paragraph" w:customStyle="1" w:styleId="ResNoBR">
    <w:name w:val="Res_No_BR"/>
    <w:basedOn w:val="RecNoBR"/>
    <w:next w:val="Normal"/>
    <w:rsid w:val="00DC74F1"/>
  </w:style>
  <w:style w:type="paragraph" w:customStyle="1" w:styleId="Resref">
    <w:name w:val="Res_ref"/>
    <w:basedOn w:val="Recref"/>
    <w:next w:val="Resdate"/>
    <w:rsid w:val="00DC74F1"/>
  </w:style>
  <w:style w:type="paragraph" w:customStyle="1" w:styleId="Restitle">
    <w:name w:val="Res_title"/>
    <w:basedOn w:val="Rectitle"/>
    <w:next w:val="Resref"/>
    <w:rsid w:val="00DC74F1"/>
  </w:style>
  <w:style w:type="paragraph" w:customStyle="1" w:styleId="Section1">
    <w:name w:val="Section_1"/>
    <w:basedOn w:val="Normal"/>
    <w:next w:val="Normal"/>
    <w:rsid w:val="00DC74F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DC74F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DC74F1"/>
    <w:pPr>
      <w:keepNext/>
      <w:keepLines/>
      <w:spacing w:before="480" w:after="80"/>
      <w:jc w:val="center"/>
    </w:pPr>
    <w:rPr>
      <w:caps/>
      <w:sz w:val="28"/>
    </w:rPr>
  </w:style>
  <w:style w:type="paragraph" w:customStyle="1" w:styleId="Sectiontitle">
    <w:name w:val="Section_title"/>
    <w:basedOn w:val="Normal"/>
    <w:next w:val="Normalaftertitle"/>
    <w:rsid w:val="00DC74F1"/>
    <w:pPr>
      <w:keepNext/>
      <w:keepLines/>
      <w:spacing w:before="480" w:after="280"/>
      <w:jc w:val="center"/>
    </w:pPr>
    <w:rPr>
      <w:b/>
      <w:sz w:val="28"/>
    </w:rPr>
  </w:style>
  <w:style w:type="paragraph" w:customStyle="1" w:styleId="Source">
    <w:name w:val="Source"/>
    <w:basedOn w:val="Normal"/>
    <w:next w:val="Normalaftertitle"/>
    <w:rsid w:val="00DC74F1"/>
    <w:pPr>
      <w:spacing w:before="840" w:after="200"/>
      <w:jc w:val="center"/>
    </w:pPr>
    <w:rPr>
      <w:b/>
      <w:sz w:val="28"/>
    </w:rPr>
  </w:style>
  <w:style w:type="paragraph" w:customStyle="1" w:styleId="SpecialFooter">
    <w:name w:val="Special Footer"/>
    <w:basedOn w:val="Footer"/>
    <w:rsid w:val="00DC74F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DC74F1"/>
    <w:rPr>
      <w:b/>
      <w:color w:val="auto"/>
    </w:rPr>
  </w:style>
  <w:style w:type="paragraph" w:customStyle="1" w:styleId="Tablehead">
    <w:name w:val="Table_head"/>
    <w:basedOn w:val="Normal"/>
    <w:next w:val="Normal"/>
    <w:rsid w:val="00DC74F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DC74F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DC74F1"/>
    <w:pPr>
      <w:keepNext/>
      <w:keepLines/>
      <w:spacing w:before="360" w:after="120"/>
      <w:jc w:val="center"/>
    </w:pPr>
    <w:rPr>
      <w:b/>
    </w:rPr>
  </w:style>
  <w:style w:type="paragraph" w:customStyle="1" w:styleId="TableNoBR">
    <w:name w:val="Table_No_BR"/>
    <w:basedOn w:val="Normal"/>
    <w:next w:val="TabletitleBR"/>
    <w:rsid w:val="00DC74F1"/>
    <w:pPr>
      <w:keepNext/>
      <w:spacing w:before="560" w:after="120"/>
      <w:jc w:val="center"/>
    </w:pPr>
    <w:rPr>
      <w:caps/>
    </w:rPr>
  </w:style>
  <w:style w:type="paragraph" w:customStyle="1" w:styleId="Tableref">
    <w:name w:val="Table_ref"/>
    <w:basedOn w:val="Normal"/>
    <w:next w:val="TabletitleBR"/>
    <w:rsid w:val="00DC74F1"/>
    <w:pPr>
      <w:keepNext/>
      <w:spacing w:before="0" w:after="120"/>
      <w:jc w:val="center"/>
    </w:pPr>
  </w:style>
  <w:style w:type="paragraph" w:customStyle="1" w:styleId="Tabletext">
    <w:name w:val="Table_text"/>
    <w:basedOn w:val="Normal"/>
    <w:rsid w:val="00DC74F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DC74F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DC74F1"/>
  </w:style>
  <w:style w:type="paragraph" w:customStyle="1" w:styleId="Title3">
    <w:name w:val="Title 3"/>
    <w:basedOn w:val="Title2"/>
    <w:next w:val="Normal"/>
    <w:rsid w:val="00DC74F1"/>
    <w:rPr>
      <w:caps w:val="0"/>
    </w:rPr>
  </w:style>
  <w:style w:type="paragraph" w:customStyle="1" w:styleId="Title4">
    <w:name w:val="Title 4"/>
    <w:basedOn w:val="Title3"/>
    <w:next w:val="Heading1"/>
    <w:rsid w:val="00DC74F1"/>
    <w:rPr>
      <w:b/>
    </w:rPr>
  </w:style>
  <w:style w:type="paragraph" w:customStyle="1" w:styleId="toc0">
    <w:name w:val="toc 0"/>
    <w:basedOn w:val="Normal"/>
    <w:next w:val="TOC1"/>
    <w:rsid w:val="00DC74F1"/>
    <w:pPr>
      <w:tabs>
        <w:tab w:val="clear" w:pos="794"/>
        <w:tab w:val="clear" w:pos="1191"/>
        <w:tab w:val="clear" w:pos="1588"/>
        <w:tab w:val="clear" w:pos="1985"/>
        <w:tab w:val="right" w:pos="9639"/>
      </w:tabs>
    </w:pPr>
    <w:rPr>
      <w:b/>
    </w:rPr>
  </w:style>
  <w:style w:type="paragraph" w:styleId="TOC1">
    <w:name w:val="toc 1"/>
    <w:basedOn w:val="Normal"/>
    <w:uiPriority w:val="39"/>
    <w:rsid w:val="00772C35"/>
    <w:pPr>
      <w:keepLines/>
      <w:tabs>
        <w:tab w:val="clear" w:pos="794"/>
        <w:tab w:val="clear" w:pos="1191"/>
        <w:tab w:val="clear" w:pos="1588"/>
        <w:tab w:val="clear" w:pos="1985"/>
        <w:tab w:val="left" w:pos="964"/>
        <w:tab w:val="left" w:leader="dot" w:pos="8789"/>
        <w:tab w:val="right" w:pos="9639"/>
      </w:tabs>
      <w:spacing w:before="240"/>
      <w:ind w:left="680" w:right="851" w:hanging="680"/>
    </w:pPr>
    <w:rPr>
      <w:rFonts w:eastAsia="Batang"/>
    </w:rPr>
  </w:style>
  <w:style w:type="paragraph" w:styleId="TOC2">
    <w:name w:val="toc 2"/>
    <w:basedOn w:val="TOC1"/>
    <w:uiPriority w:val="39"/>
    <w:rsid w:val="00772C35"/>
    <w:pPr>
      <w:tabs>
        <w:tab w:val="clear" w:pos="964"/>
      </w:tabs>
      <w:spacing w:before="80"/>
      <w:ind w:left="1531" w:hanging="851"/>
    </w:pPr>
  </w:style>
  <w:style w:type="paragraph" w:styleId="TOC3">
    <w:name w:val="toc 3"/>
    <w:basedOn w:val="TOC2"/>
    <w:semiHidden/>
    <w:rsid w:val="00772C35"/>
    <w:pPr>
      <w:ind w:left="2269"/>
    </w:pPr>
  </w:style>
  <w:style w:type="paragraph" w:styleId="TOC4">
    <w:name w:val="toc 4"/>
    <w:basedOn w:val="TOC3"/>
    <w:semiHidden/>
    <w:rsid w:val="00DC74F1"/>
  </w:style>
  <w:style w:type="paragraph" w:styleId="TOC5">
    <w:name w:val="toc 5"/>
    <w:basedOn w:val="TOC4"/>
    <w:semiHidden/>
    <w:rsid w:val="00DC74F1"/>
  </w:style>
  <w:style w:type="paragraph" w:styleId="TOC6">
    <w:name w:val="toc 6"/>
    <w:basedOn w:val="TOC4"/>
    <w:semiHidden/>
    <w:rsid w:val="00DC74F1"/>
  </w:style>
  <w:style w:type="paragraph" w:styleId="TOC7">
    <w:name w:val="toc 7"/>
    <w:basedOn w:val="TOC4"/>
    <w:semiHidden/>
    <w:rsid w:val="00DC74F1"/>
  </w:style>
  <w:style w:type="paragraph" w:styleId="TOC8">
    <w:name w:val="toc 8"/>
    <w:basedOn w:val="TOC4"/>
    <w:semiHidden/>
    <w:rsid w:val="00DC74F1"/>
  </w:style>
  <w:style w:type="character" w:styleId="Hyperlink">
    <w:name w:val="Hyperlink"/>
    <w:aliases w:val="超级链接"/>
    <w:rsid w:val="0042134F"/>
    <w:rPr>
      <w:color w:val="0000FF"/>
      <w:u w:val="single"/>
    </w:rPr>
  </w:style>
  <w:style w:type="paragraph" w:styleId="Caption">
    <w:name w:val="caption"/>
    <w:basedOn w:val="Normal"/>
    <w:next w:val="Normal"/>
    <w:unhideWhenUsed/>
    <w:qFormat/>
    <w:rsid w:val="009D025D"/>
    <w:pPr>
      <w:spacing w:before="0" w:after="200"/>
    </w:pPr>
    <w:rPr>
      <w:b/>
      <w:bCs/>
      <w:color w:val="4F81BD" w:themeColor="accent1"/>
      <w:sz w:val="18"/>
      <w:szCs w:val="18"/>
    </w:rPr>
  </w:style>
  <w:style w:type="paragraph" w:styleId="TOC9">
    <w:name w:val="toc 9"/>
    <w:basedOn w:val="TOC3"/>
    <w:rsid w:val="003B136D"/>
    <w:pPr>
      <w:keepLines w:val="0"/>
      <w:tabs>
        <w:tab w:val="left" w:pos="964"/>
      </w:tabs>
      <w:ind w:left="1531"/>
    </w:pPr>
    <w:rPr>
      <w:rFonts w:eastAsia="Times New Roman"/>
    </w:rPr>
  </w:style>
  <w:style w:type="paragraph" w:customStyle="1" w:styleId="AnnexNoTitle0">
    <w:name w:val="Annex_NoTitle"/>
    <w:basedOn w:val="Normal"/>
    <w:next w:val="Normalaftertitle"/>
    <w:rsid w:val="003B136D"/>
    <w:pPr>
      <w:keepNext/>
      <w:keepLines/>
      <w:spacing w:before="720"/>
      <w:jc w:val="center"/>
    </w:pPr>
    <w:rPr>
      <w:b/>
      <w:sz w:val="28"/>
    </w:rPr>
  </w:style>
  <w:style w:type="paragraph" w:customStyle="1" w:styleId="AppendixNoTitle0">
    <w:name w:val="Appendix_NoTitle"/>
    <w:basedOn w:val="AnnexNoTitle0"/>
    <w:next w:val="Normalaftertitle"/>
    <w:rsid w:val="003B136D"/>
  </w:style>
  <w:style w:type="character" w:styleId="CommentReference">
    <w:name w:val="annotation reference"/>
    <w:basedOn w:val="DefaultParagraphFont"/>
    <w:rsid w:val="003B136D"/>
    <w:rPr>
      <w:sz w:val="16"/>
      <w:szCs w:val="16"/>
    </w:rPr>
  </w:style>
  <w:style w:type="paragraph" w:customStyle="1" w:styleId="FigureNoTitle0">
    <w:name w:val="Figure_NoTitle"/>
    <w:basedOn w:val="Normal"/>
    <w:next w:val="Normalaftertitle"/>
    <w:rsid w:val="003B136D"/>
    <w:pPr>
      <w:keepLines/>
      <w:spacing w:before="240" w:after="120"/>
      <w:jc w:val="center"/>
    </w:pPr>
    <w:rPr>
      <w:b/>
    </w:rPr>
  </w:style>
  <w:style w:type="paragraph" w:styleId="CommentText">
    <w:name w:val="annotation text"/>
    <w:basedOn w:val="Normal"/>
    <w:link w:val="CommentTextChar"/>
    <w:rsid w:val="003B136D"/>
    <w:pPr>
      <w:tabs>
        <w:tab w:val="clear" w:pos="794"/>
        <w:tab w:val="clear" w:pos="1191"/>
        <w:tab w:val="clear" w:pos="1588"/>
        <w:tab w:val="clear" w:pos="1985"/>
      </w:tabs>
      <w:overflowPunct/>
      <w:autoSpaceDE/>
      <w:autoSpaceDN/>
      <w:adjustRightInd/>
      <w:spacing w:before="0"/>
      <w:textAlignment w:val="auto"/>
    </w:pPr>
    <w:rPr>
      <w:sz w:val="20"/>
      <w:lang w:val="en-US"/>
    </w:rPr>
  </w:style>
  <w:style w:type="character" w:customStyle="1" w:styleId="CommentTextChar">
    <w:name w:val="Comment Text Char"/>
    <w:basedOn w:val="DefaultParagraphFont"/>
    <w:link w:val="CommentText"/>
    <w:rsid w:val="003B136D"/>
  </w:style>
  <w:style w:type="paragraph" w:customStyle="1" w:styleId="TableNoTitle0">
    <w:name w:val="Table_NoTitle"/>
    <w:basedOn w:val="Normal"/>
    <w:next w:val="Tablehead"/>
    <w:rsid w:val="003B136D"/>
    <w:pPr>
      <w:keepNext/>
      <w:keepLines/>
      <w:spacing w:before="360" w:after="120"/>
      <w:jc w:val="center"/>
    </w:pPr>
    <w:rPr>
      <w:b/>
    </w:rPr>
  </w:style>
  <w:style w:type="paragraph" w:customStyle="1" w:styleId="TableTitle">
    <w:name w:val="Table_Title"/>
    <w:basedOn w:val="Normal"/>
    <w:next w:val="TableText0"/>
    <w:rsid w:val="003B136D"/>
    <w:pPr>
      <w:keepNext/>
      <w:spacing w:before="0" w:after="113"/>
      <w:jc w:val="center"/>
    </w:pPr>
    <w:rPr>
      <w:b/>
    </w:rPr>
  </w:style>
  <w:style w:type="paragraph" w:customStyle="1" w:styleId="TableText0">
    <w:name w:val="Table_Text"/>
    <w:basedOn w:val="Normal"/>
    <w:rsid w:val="003B136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57" w:after="57"/>
    </w:pPr>
    <w:rPr>
      <w:sz w:val="20"/>
    </w:rPr>
  </w:style>
  <w:style w:type="paragraph" w:styleId="CommentSubject">
    <w:name w:val="annotation subject"/>
    <w:basedOn w:val="CommentText"/>
    <w:next w:val="CommentText"/>
    <w:link w:val="CommentSubjectChar"/>
    <w:rsid w:val="003B136D"/>
    <w:pPr>
      <w:tabs>
        <w:tab w:val="left" w:pos="794"/>
        <w:tab w:val="left" w:pos="1191"/>
        <w:tab w:val="left" w:pos="1588"/>
        <w:tab w:val="left" w:pos="1985"/>
      </w:tabs>
      <w:overflowPunct w:val="0"/>
      <w:autoSpaceDE w:val="0"/>
      <w:autoSpaceDN w:val="0"/>
      <w:adjustRightInd w:val="0"/>
      <w:spacing w:before="120"/>
      <w:jc w:val="both"/>
      <w:textAlignment w:val="baseline"/>
    </w:pPr>
    <w:rPr>
      <w:b/>
      <w:bCs/>
      <w:lang w:val="en-GB"/>
    </w:rPr>
  </w:style>
  <w:style w:type="character" w:customStyle="1" w:styleId="CommentSubjectChar">
    <w:name w:val="Comment Subject Char"/>
    <w:basedOn w:val="CommentTextChar"/>
    <w:link w:val="CommentSubject"/>
    <w:rsid w:val="003B136D"/>
    <w:rPr>
      <w:b/>
      <w:bCs/>
      <w:lang w:val="en-GB"/>
    </w:rPr>
  </w:style>
  <w:style w:type="paragraph" w:customStyle="1" w:styleId="Table">
    <w:name w:val="Table_#"/>
    <w:basedOn w:val="Normal"/>
    <w:next w:val="TableTitle"/>
    <w:rsid w:val="003B136D"/>
    <w:pPr>
      <w:keepNext/>
      <w:spacing w:before="480" w:after="113"/>
      <w:jc w:val="center"/>
    </w:pPr>
    <w:rPr>
      <w:caps/>
    </w:rPr>
  </w:style>
  <w:style w:type="paragraph" w:styleId="BalloonText">
    <w:name w:val="Balloon Text"/>
    <w:basedOn w:val="Normal"/>
    <w:link w:val="BalloonTextChar"/>
    <w:rsid w:val="003B136D"/>
    <w:rPr>
      <w:rFonts w:ascii="Tahoma" w:hAnsi="Tahoma" w:cs="Tahoma"/>
      <w:sz w:val="16"/>
      <w:szCs w:val="16"/>
    </w:rPr>
  </w:style>
  <w:style w:type="character" w:customStyle="1" w:styleId="BalloonTextChar">
    <w:name w:val="Balloon Text Char"/>
    <w:basedOn w:val="DefaultParagraphFont"/>
    <w:link w:val="BalloonText"/>
    <w:rsid w:val="003B136D"/>
    <w:rPr>
      <w:rFonts w:ascii="Tahoma" w:hAnsi="Tahoma" w:cs="Tahoma"/>
      <w:sz w:val="16"/>
      <w:szCs w:val="16"/>
      <w:lang w:val="en-GB"/>
    </w:rPr>
  </w:style>
  <w:style w:type="paragraph" w:styleId="Revision">
    <w:name w:val="Revision"/>
    <w:hidden/>
    <w:uiPriority w:val="99"/>
    <w:semiHidden/>
    <w:rsid w:val="00D528B5"/>
    <w:rPr>
      <w:sz w:val="24"/>
      <w:lang w:val="en-GB"/>
    </w:rPr>
  </w:style>
  <w:style w:type="paragraph" w:styleId="ListParagraph">
    <w:name w:val="List Paragraph"/>
    <w:basedOn w:val="Normal"/>
    <w:uiPriority w:val="34"/>
    <w:qFormat/>
    <w:rsid w:val="000B6FA1"/>
    <w:pPr>
      <w:numPr>
        <w:numId w:val="13"/>
      </w:numPr>
      <w:tabs>
        <w:tab w:val="clear" w:pos="794"/>
        <w:tab w:val="clear" w:pos="1191"/>
        <w:tab w:val="clear" w:pos="1588"/>
        <w:tab w:val="clear" w:pos="1985"/>
      </w:tabs>
      <w:overflowPunct/>
      <w:autoSpaceDE/>
      <w:autoSpaceDN/>
      <w:adjustRightInd/>
      <w:textAlignment w:val="auto"/>
    </w:pPr>
    <w:rPr>
      <w:rFonts w:eastAsia="SimSun"/>
      <w:szCs w:val="22"/>
      <w:lang w:val="fr-FR" w:eastAsia="zh-CN"/>
    </w:rPr>
  </w:style>
  <w:style w:type="paragraph" w:customStyle="1" w:styleId="Docnumber">
    <w:name w:val="Docnumber"/>
    <w:basedOn w:val="Normal"/>
    <w:link w:val="DocnumberChar"/>
    <w:rsid w:val="00A75F2B"/>
    <w:pPr>
      <w:jc w:val="right"/>
    </w:pPr>
    <w:rPr>
      <w:b/>
      <w:bCs/>
      <w:sz w:val="40"/>
    </w:rPr>
  </w:style>
  <w:style w:type="character" w:customStyle="1" w:styleId="DocnumberChar">
    <w:name w:val="Docnumber Char"/>
    <w:basedOn w:val="DefaultParagraphFont"/>
    <w:link w:val="Docnumber"/>
    <w:rsid w:val="00A75F2B"/>
    <w:rPr>
      <w:b/>
      <w:bCs/>
      <w:sz w:val="4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8.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1.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lihan@chinamobil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F7990-3916-4E58-94DF-E95500CA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0</TotalTime>
  <Pages>15</Pages>
  <Words>3744</Words>
  <Characters>21343</Characters>
  <Application>Microsoft Office Word</Application>
  <DocSecurity>4</DocSecurity>
  <Lines>177</Lines>
  <Paragraphs>50</Paragraphs>
  <ScaleCrop>false</ScaleCrop>
  <HeadingPairs>
    <vt:vector size="2" baseType="variant">
      <vt:variant>
        <vt:lpstr>Title</vt:lpstr>
      </vt:variant>
      <vt:variant>
        <vt:i4>1</vt:i4>
      </vt:variant>
    </vt:vector>
  </HeadingPairs>
  <TitlesOfParts>
    <vt:vector size="1" baseType="lpstr">
      <vt:lpstr>ITU-T Recommendation G.8272.1/Y.1367.1 Latest Draft (for Consent, 30 September 2016)</vt:lpstr>
    </vt:vector>
  </TitlesOfParts>
  <Manager>ITU-T</Manager>
  <Company>International Telecommunication Union (ITU)</Company>
  <LinksUpToDate>false</LinksUpToDate>
  <CharactersWithSpaces>25037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Recommendation G.8272.1/Y.1367.1 Latest Draft (for Consent, 30 September 2016)</dc:title>
  <dc:creator>Editor Recommendation G.8272.1/Y.1367.1</dc:creator>
  <cp:keywords>Q13</cp:keywords>
  <dc:description>TD 613 (PLEN/15)  For: Geneva, 19-30 September 2016_x000d_Document date: _x000d_Saved by ITU51010564 at 15:04:31 on 24/08/2016</dc:description>
  <cp:lastModifiedBy>Labare, Emmanuelle</cp:lastModifiedBy>
  <cp:revision>2</cp:revision>
  <cp:lastPrinted>2002-08-01T12:30:00Z</cp:lastPrinted>
  <dcterms:created xsi:type="dcterms:W3CDTF">2016-09-28T15:24:00Z</dcterms:created>
  <dcterms:modified xsi:type="dcterms:W3CDTF">2016-09-28T15:24:00Z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613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Q13</vt:lpwstr>
  </property>
  <property fmtid="{D5CDD505-2E9C-101B-9397-08002B2CF9AE}" pid="6" name="Docdest">
    <vt:lpwstr>Geneva, 19-30 September 2016</vt:lpwstr>
  </property>
  <property fmtid="{D5CDD505-2E9C-101B-9397-08002B2CF9AE}" pid="7" name="Docauthor">
    <vt:lpwstr>Editor Recommendation G.8272.1/Y.1367.1</vt:lpwstr>
  </property>
</Properties>
</file>