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7E" w:rsidRPr="0026528E" w:rsidRDefault="00C90D7E" w:rsidP="00C90D7E">
      <w:pPr>
        <w:pStyle w:val="ListParagraph"/>
        <w:keepNext/>
        <w:widowControl w:val="0"/>
        <w:numPr>
          <w:ilvl w:val="0"/>
          <w:numId w:val="1"/>
        </w:numPr>
        <w:tabs>
          <w:tab w:val="left" w:pos="720"/>
          <w:tab w:val="right" w:pos="9360"/>
        </w:tabs>
        <w:overflowPunct w:val="0"/>
        <w:autoSpaceDE w:val="0"/>
        <w:autoSpaceDN w:val="0"/>
        <w:adjustRightInd w:val="0"/>
        <w:spacing w:before="100" w:after="100"/>
        <w:jc w:val="both"/>
        <w:textAlignment w:val="baseline"/>
        <w:outlineLvl w:val="1"/>
        <w:rPr>
          <w:b/>
          <w:bCs/>
          <w:iCs/>
          <w:vanish/>
          <w:sz w:val="22"/>
          <w:szCs w:val="22"/>
        </w:rPr>
      </w:pPr>
      <w:bookmarkStart w:id="0" w:name="_Toc33267983"/>
    </w:p>
    <w:p w:rsidR="00C90D7E" w:rsidRPr="0026528E" w:rsidRDefault="00C90D7E" w:rsidP="00C90D7E">
      <w:pPr>
        <w:pStyle w:val="ListParagraph"/>
        <w:keepNext/>
        <w:widowControl w:val="0"/>
        <w:numPr>
          <w:ilvl w:val="0"/>
          <w:numId w:val="1"/>
        </w:numPr>
        <w:tabs>
          <w:tab w:val="left" w:pos="720"/>
          <w:tab w:val="right" w:pos="9360"/>
        </w:tabs>
        <w:overflowPunct w:val="0"/>
        <w:autoSpaceDE w:val="0"/>
        <w:autoSpaceDN w:val="0"/>
        <w:adjustRightInd w:val="0"/>
        <w:spacing w:before="100" w:after="100"/>
        <w:jc w:val="both"/>
        <w:textAlignment w:val="baseline"/>
        <w:outlineLvl w:val="1"/>
        <w:rPr>
          <w:b/>
          <w:bCs/>
          <w:iCs/>
          <w:vanish/>
          <w:sz w:val="22"/>
          <w:szCs w:val="22"/>
        </w:rPr>
      </w:pPr>
    </w:p>
    <w:p w:rsidR="00C90D7E" w:rsidRPr="0026528E" w:rsidRDefault="00C90D7E" w:rsidP="00C90D7E">
      <w:pPr>
        <w:pStyle w:val="ListParagraph"/>
        <w:keepNext/>
        <w:widowControl w:val="0"/>
        <w:numPr>
          <w:ilvl w:val="0"/>
          <w:numId w:val="1"/>
        </w:numPr>
        <w:tabs>
          <w:tab w:val="left" w:pos="720"/>
          <w:tab w:val="right" w:pos="9360"/>
        </w:tabs>
        <w:overflowPunct w:val="0"/>
        <w:autoSpaceDE w:val="0"/>
        <w:autoSpaceDN w:val="0"/>
        <w:adjustRightInd w:val="0"/>
        <w:spacing w:before="100" w:after="100"/>
        <w:jc w:val="both"/>
        <w:textAlignment w:val="baseline"/>
        <w:outlineLvl w:val="1"/>
        <w:rPr>
          <w:b/>
          <w:bCs/>
          <w:iCs/>
          <w:vanish/>
          <w:sz w:val="22"/>
          <w:szCs w:val="22"/>
        </w:rPr>
      </w:pPr>
    </w:p>
    <w:p w:rsidR="0099136F" w:rsidRPr="00A369E4" w:rsidRDefault="0099136F" w:rsidP="00C5603C">
      <w:pPr>
        <w:pStyle w:val="Heading2"/>
        <w:widowControl w:val="0"/>
        <w:numPr>
          <w:ilvl w:val="1"/>
          <w:numId w:val="21"/>
        </w:numPr>
        <w:tabs>
          <w:tab w:val="left" w:pos="720"/>
          <w:tab w:val="right" w:pos="9360"/>
        </w:tabs>
        <w:overflowPunct w:val="0"/>
        <w:autoSpaceDE w:val="0"/>
        <w:autoSpaceDN w:val="0"/>
        <w:adjustRightInd w:val="0"/>
        <w:spacing w:before="0" w:after="0"/>
        <w:jc w:val="both"/>
        <w:textAlignment w:val="baseline"/>
        <w:rPr>
          <w:rFonts w:ascii="Times New Roman" w:hAnsi="Times New Roman" w:cs="Times New Roman"/>
          <w:i w:val="0"/>
          <w:sz w:val="20"/>
          <w:szCs w:val="20"/>
        </w:rPr>
      </w:pPr>
      <w:r w:rsidRPr="00A369E4">
        <w:rPr>
          <w:rFonts w:ascii="Times New Roman" w:hAnsi="Times New Roman" w:cs="Times New Roman"/>
          <w:i w:val="0"/>
          <w:sz w:val="20"/>
          <w:szCs w:val="20"/>
        </w:rPr>
        <w:t>Dry Type Transformers SC</w:t>
      </w:r>
      <w:r w:rsidRPr="00A369E4">
        <w:rPr>
          <w:rFonts w:ascii="Times New Roman" w:hAnsi="Times New Roman" w:cs="Times New Roman"/>
          <w:i w:val="0"/>
          <w:sz w:val="20"/>
          <w:szCs w:val="20"/>
        </w:rPr>
        <w:tab/>
        <w:t xml:space="preserve">Chair </w:t>
      </w:r>
      <w:bookmarkEnd w:id="0"/>
      <w:r w:rsidR="00542C93" w:rsidRPr="00A369E4">
        <w:rPr>
          <w:rFonts w:ascii="Times New Roman" w:hAnsi="Times New Roman" w:cs="Times New Roman"/>
          <w:i w:val="0"/>
          <w:sz w:val="20"/>
          <w:szCs w:val="20"/>
        </w:rPr>
        <w:t>Charles Johnson</w:t>
      </w:r>
    </w:p>
    <w:p w:rsidR="00CB7DDC" w:rsidRPr="00A369E4" w:rsidRDefault="00CB7DDC" w:rsidP="008235A1">
      <w:pPr>
        <w:spacing w:after="120"/>
        <w:jc w:val="right"/>
        <w:rPr>
          <w:b/>
        </w:rPr>
      </w:pPr>
      <w:r w:rsidRPr="00A369E4">
        <w:rPr>
          <w:b/>
        </w:rPr>
        <w:t>Acting Secretary Casey Ballard</w:t>
      </w:r>
    </w:p>
    <w:p w:rsidR="006B7FB5" w:rsidRPr="00A369E4" w:rsidRDefault="0099136F" w:rsidP="00C5603C">
      <w:pPr>
        <w:pStyle w:val="Heading2"/>
        <w:widowControl w:val="0"/>
        <w:numPr>
          <w:ilvl w:val="2"/>
          <w:numId w:val="21"/>
        </w:numPr>
        <w:tabs>
          <w:tab w:val="left" w:pos="720"/>
          <w:tab w:val="right" w:pos="9360"/>
        </w:tabs>
        <w:overflowPunct w:val="0"/>
        <w:autoSpaceDE w:val="0"/>
        <w:autoSpaceDN w:val="0"/>
        <w:adjustRightInd w:val="0"/>
        <w:spacing w:before="0" w:after="120"/>
        <w:jc w:val="both"/>
        <w:textAlignment w:val="baseline"/>
        <w:rPr>
          <w:rFonts w:ascii="Times New Roman" w:hAnsi="Times New Roman" w:cs="Times New Roman"/>
          <w:i w:val="0"/>
          <w:sz w:val="20"/>
          <w:szCs w:val="20"/>
        </w:rPr>
      </w:pPr>
      <w:r w:rsidRPr="00A369E4">
        <w:rPr>
          <w:rFonts w:ascii="Times New Roman" w:hAnsi="Times New Roman" w:cs="Times New Roman"/>
          <w:i w:val="0"/>
          <w:sz w:val="20"/>
          <w:szCs w:val="20"/>
        </w:rPr>
        <w:t>Introductions and Approval of Minutes</w:t>
      </w:r>
    </w:p>
    <w:p w:rsidR="00B8542B" w:rsidRPr="00A369E4" w:rsidRDefault="00B8542B" w:rsidP="002811B1">
      <w:pPr>
        <w:widowControl w:val="0"/>
        <w:tabs>
          <w:tab w:val="left" w:pos="720"/>
        </w:tabs>
        <w:overflowPunct w:val="0"/>
        <w:autoSpaceDE w:val="0"/>
        <w:autoSpaceDN w:val="0"/>
        <w:adjustRightInd w:val="0"/>
        <w:spacing w:after="120"/>
        <w:ind w:left="360"/>
        <w:jc w:val="both"/>
        <w:textAlignment w:val="baseline"/>
      </w:pPr>
      <w:r w:rsidRPr="00A369E4">
        <w:t>The Dry Type Transformer Committee meeting began at 1:3</w:t>
      </w:r>
      <w:r w:rsidR="002811B1" w:rsidRPr="00A369E4">
        <w:t>4</w:t>
      </w:r>
      <w:r w:rsidRPr="00A369E4">
        <w:t xml:space="preserve">pm </w:t>
      </w:r>
      <w:r w:rsidR="002811B1" w:rsidRPr="00A369E4">
        <w:t>Wednesday, November 2, 2011</w:t>
      </w:r>
      <w:r w:rsidRPr="00A369E4">
        <w:t xml:space="preserve"> in </w:t>
      </w:r>
      <w:r w:rsidR="00DB1B55" w:rsidRPr="00A369E4">
        <w:t>the</w:t>
      </w:r>
      <w:r w:rsidR="002811B1" w:rsidRPr="00A369E4">
        <w:t xml:space="preserve"> Pacific “FGH”</w:t>
      </w:r>
      <w:r w:rsidR="00CB7DDC" w:rsidRPr="00A369E4">
        <w:t xml:space="preserve"> room</w:t>
      </w:r>
      <w:r w:rsidR="002811B1" w:rsidRPr="00A369E4">
        <w:t>s</w:t>
      </w:r>
      <w:r w:rsidR="00CB7DDC" w:rsidRPr="00A369E4">
        <w:t xml:space="preserve"> of the </w:t>
      </w:r>
      <w:r w:rsidR="002811B1" w:rsidRPr="00A369E4">
        <w:t xml:space="preserve">Renaissance Waterfront Hotel </w:t>
      </w:r>
      <w:proofErr w:type="gramStart"/>
      <w:r w:rsidR="002811B1" w:rsidRPr="00A369E4">
        <w:t>In</w:t>
      </w:r>
      <w:proofErr w:type="gramEnd"/>
      <w:r w:rsidR="002811B1" w:rsidRPr="00A369E4">
        <w:t xml:space="preserve"> Boston Massachusetts </w:t>
      </w:r>
      <w:r w:rsidRPr="00A369E4">
        <w:t xml:space="preserve">with introductions of members and guests.  </w:t>
      </w:r>
      <w:r w:rsidR="002B2071" w:rsidRPr="00A369E4">
        <w:t xml:space="preserve">There were </w:t>
      </w:r>
      <w:r w:rsidR="002811B1" w:rsidRPr="00A369E4">
        <w:t>15</w:t>
      </w:r>
      <w:r w:rsidR="00EA52CD" w:rsidRPr="00A369E4">
        <w:t xml:space="preserve"> </w:t>
      </w:r>
      <w:r w:rsidR="00AD26C5" w:rsidRPr="00A369E4">
        <w:t>m</w:t>
      </w:r>
      <w:r w:rsidR="00EA52CD" w:rsidRPr="00A369E4">
        <w:t xml:space="preserve">embers </w:t>
      </w:r>
      <w:r w:rsidR="00CB7DDC" w:rsidRPr="00A369E4">
        <w:t xml:space="preserve">(out of </w:t>
      </w:r>
      <w:r w:rsidR="002811B1" w:rsidRPr="00A369E4">
        <w:t>29 on the roster</w:t>
      </w:r>
      <w:r w:rsidR="00CB7DDC" w:rsidRPr="00A369E4">
        <w:t>, therefore a quorum was reached with 5</w:t>
      </w:r>
      <w:r w:rsidR="002811B1" w:rsidRPr="00A369E4">
        <w:t>1.7</w:t>
      </w:r>
      <w:r w:rsidR="00CB7DDC" w:rsidRPr="00A369E4">
        <w:t>%) and 1</w:t>
      </w:r>
      <w:r w:rsidR="002811B1" w:rsidRPr="00A369E4">
        <w:t>5</w:t>
      </w:r>
      <w:r w:rsidR="00AD26C5" w:rsidRPr="00A369E4">
        <w:t xml:space="preserve"> guests </w:t>
      </w:r>
      <w:r w:rsidR="00EA52CD" w:rsidRPr="00A369E4">
        <w:t>present</w:t>
      </w:r>
      <w:r w:rsidR="00DB1B55" w:rsidRPr="00A369E4">
        <w:t>.</w:t>
      </w:r>
      <w:r w:rsidR="007D2F7D" w:rsidRPr="00A369E4">
        <w:t xml:space="preserve"> </w:t>
      </w:r>
      <w:r w:rsidR="00DB1B55" w:rsidRPr="00A369E4">
        <w:t xml:space="preserve"> </w:t>
      </w:r>
      <w:r w:rsidR="00CB7DDC" w:rsidRPr="00A369E4">
        <w:t xml:space="preserve">The </w:t>
      </w:r>
      <w:r w:rsidR="002A11A4" w:rsidRPr="00A369E4">
        <w:t xml:space="preserve">meeting </w:t>
      </w:r>
      <w:r w:rsidR="00CB7DDC" w:rsidRPr="00A369E4">
        <w:t xml:space="preserve">minutes for the </w:t>
      </w:r>
      <w:r w:rsidR="002811B1" w:rsidRPr="00A369E4">
        <w:t>San Diego, CA meeting</w:t>
      </w:r>
      <w:r w:rsidR="00CB7DDC" w:rsidRPr="00A369E4">
        <w:t xml:space="preserve"> </w:t>
      </w:r>
      <w:r w:rsidR="006B34A4" w:rsidRPr="00A369E4">
        <w:t>(</w:t>
      </w:r>
      <w:r w:rsidR="002A11A4" w:rsidRPr="00A369E4">
        <w:t xml:space="preserve">Motion: Phil Hopkinson Second: Mark </w:t>
      </w:r>
      <w:proofErr w:type="spellStart"/>
      <w:r w:rsidR="002A11A4" w:rsidRPr="00A369E4">
        <w:t>Gromlovits</w:t>
      </w:r>
      <w:proofErr w:type="spellEnd"/>
      <w:r w:rsidR="006B34A4" w:rsidRPr="00A369E4">
        <w:t xml:space="preserve">) </w:t>
      </w:r>
      <w:r w:rsidR="00CB7DDC" w:rsidRPr="00A369E4">
        <w:t xml:space="preserve">were approved.  </w:t>
      </w:r>
      <w:r w:rsidRPr="00A369E4">
        <w:t xml:space="preserve">The Chair asked if anyone knew of any patent related issues; none were identified. </w:t>
      </w:r>
    </w:p>
    <w:p w:rsidR="006B7FB5" w:rsidRPr="00A369E4" w:rsidRDefault="0099136F" w:rsidP="00C5603C">
      <w:pPr>
        <w:pStyle w:val="Heading2"/>
        <w:widowControl w:val="0"/>
        <w:numPr>
          <w:ilvl w:val="2"/>
          <w:numId w:val="21"/>
        </w:numPr>
        <w:tabs>
          <w:tab w:val="left" w:pos="720"/>
          <w:tab w:val="right" w:pos="9360"/>
        </w:tabs>
        <w:overflowPunct w:val="0"/>
        <w:autoSpaceDE w:val="0"/>
        <w:autoSpaceDN w:val="0"/>
        <w:adjustRightInd w:val="0"/>
        <w:spacing w:before="0" w:after="120"/>
        <w:jc w:val="both"/>
        <w:textAlignment w:val="baseline"/>
        <w:rPr>
          <w:rFonts w:ascii="Times New Roman" w:hAnsi="Times New Roman" w:cs="Times New Roman"/>
          <w:i w:val="0"/>
          <w:sz w:val="20"/>
          <w:szCs w:val="20"/>
        </w:rPr>
      </w:pPr>
      <w:r w:rsidRPr="00A369E4">
        <w:rPr>
          <w:rFonts w:ascii="Times New Roman" w:hAnsi="Times New Roman" w:cs="Times New Roman"/>
          <w:i w:val="0"/>
          <w:sz w:val="20"/>
          <w:szCs w:val="20"/>
        </w:rPr>
        <w:t>Working Group/Task Force Reports</w:t>
      </w:r>
    </w:p>
    <w:p w:rsidR="006B7FB5" w:rsidRPr="00A369E4" w:rsidRDefault="0099136F" w:rsidP="00731A8A">
      <w:pPr>
        <w:widowControl w:val="0"/>
        <w:tabs>
          <w:tab w:val="left" w:pos="720"/>
        </w:tabs>
        <w:overflowPunct w:val="0"/>
        <w:autoSpaceDE w:val="0"/>
        <w:autoSpaceDN w:val="0"/>
        <w:adjustRightInd w:val="0"/>
        <w:spacing w:after="120"/>
        <w:ind w:left="360"/>
        <w:jc w:val="both"/>
        <w:textAlignment w:val="baseline"/>
      </w:pPr>
      <w:r w:rsidRPr="00A369E4">
        <w:t>The next order of business was the presentation of the reports of the various working groups and task forces. See the following sections for the individual reports:</w:t>
      </w:r>
      <w:r w:rsidR="006B7FB5" w:rsidRPr="00A369E4">
        <w:t xml:space="preserve"> </w:t>
      </w:r>
    </w:p>
    <w:p w:rsidR="006B7FB5" w:rsidRPr="00A369E4" w:rsidRDefault="00643486" w:rsidP="002A11A4">
      <w:pPr>
        <w:pStyle w:val="Heading2"/>
        <w:widowControl w:val="0"/>
        <w:numPr>
          <w:ilvl w:val="3"/>
          <w:numId w:val="21"/>
        </w:numPr>
        <w:tabs>
          <w:tab w:val="left" w:pos="720"/>
          <w:tab w:val="left" w:pos="900"/>
          <w:tab w:val="right" w:pos="9360"/>
        </w:tabs>
        <w:overflowPunct w:val="0"/>
        <w:autoSpaceDE w:val="0"/>
        <w:autoSpaceDN w:val="0"/>
        <w:adjustRightInd w:val="0"/>
        <w:spacing w:before="0" w:after="0"/>
        <w:jc w:val="both"/>
        <w:textAlignment w:val="baseline"/>
        <w:rPr>
          <w:rFonts w:ascii="Times New Roman" w:hAnsi="Times New Roman" w:cs="Times New Roman"/>
          <w:i w:val="0"/>
          <w:sz w:val="20"/>
          <w:szCs w:val="20"/>
        </w:rPr>
      </w:pPr>
      <w:r w:rsidRPr="00A369E4">
        <w:rPr>
          <w:rFonts w:ascii="Times New Roman" w:hAnsi="Times New Roman" w:cs="Times New Roman"/>
          <w:i w:val="0"/>
          <w:sz w:val="20"/>
          <w:szCs w:val="20"/>
        </w:rPr>
        <w:t xml:space="preserve"> WG</w:t>
      </w:r>
      <w:r w:rsidR="00D10DD5" w:rsidRPr="00A369E4">
        <w:rPr>
          <w:rFonts w:ascii="Times New Roman" w:hAnsi="Times New Roman" w:cs="Times New Roman"/>
          <w:i w:val="0"/>
          <w:sz w:val="20"/>
          <w:szCs w:val="20"/>
        </w:rPr>
        <w:t xml:space="preserve"> PC57.12.01 - Dry Type General Requirements </w:t>
      </w:r>
      <w:r w:rsidR="00D10DD5" w:rsidRPr="00A369E4">
        <w:rPr>
          <w:rFonts w:ascii="Times New Roman" w:hAnsi="Times New Roman" w:cs="Times New Roman"/>
          <w:i w:val="0"/>
          <w:sz w:val="20"/>
          <w:szCs w:val="20"/>
        </w:rPr>
        <w:tab/>
        <w:t xml:space="preserve">Chair Tim </w:t>
      </w:r>
      <w:proofErr w:type="spellStart"/>
      <w:r w:rsidR="00D10DD5" w:rsidRPr="00A369E4">
        <w:rPr>
          <w:rFonts w:ascii="Times New Roman" w:hAnsi="Times New Roman" w:cs="Times New Roman"/>
          <w:i w:val="0"/>
          <w:sz w:val="20"/>
          <w:szCs w:val="20"/>
        </w:rPr>
        <w:t>Holdway</w:t>
      </w:r>
      <w:proofErr w:type="spellEnd"/>
    </w:p>
    <w:p w:rsidR="002A11A4" w:rsidRPr="00A369E4" w:rsidRDefault="002A11A4" w:rsidP="002A11A4">
      <w:pPr>
        <w:pStyle w:val="ListParagraph"/>
        <w:tabs>
          <w:tab w:val="right" w:pos="9360"/>
        </w:tabs>
        <w:spacing w:after="120"/>
        <w:ind w:left="1080" w:hanging="2520"/>
        <w:jc w:val="center"/>
        <w:rPr>
          <w:b/>
        </w:rPr>
      </w:pPr>
      <w:r w:rsidRPr="00A369E4">
        <w:rPr>
          <w:b/>
        </w:rPr>
        <w:tab/>
      </w:r>
      <w:r w:rsidRPr="00A369E4">
        <w:rPr>
          <w:b/>
        </w:rPr>
        <w:tab/>
        <w:t>Secretary Casey Ballard</w:t>
      </w:r>
    </w:p>
    <w:p w:rsidR="002A11A4" w:rsidRPr="00A369E4" w:rsidRDefault="002A11A4" w:rsidP="005C25D3">
      <w:pPr>
        <w:autoSpaceDE w:val="0"/>
        <w:autoSpaceDN w:val="0"/>
        <w:adjustRightInd w:val="0"/>
        <w:spacing w:after="120"/>
        <w:ind w:left="360"/>
      </w:pPr>
      <w:r w:rsidRPr="00A369E4">
        <w:t>The working group met in the Pacific C Room of the Renaissance Boston Waterfront Hotel</w:t>
      </w:r>
    </w:p>
    <w:p w:rsidR="002A11A4" w:rsidRPr="00A369E4" w:rsidRDefault="002A11A4" w:rsidP="005C25D3">
      <w:pPr>
        <w:autoSpaceDE w:val="0"/>
        <w:autoSpaceDN w:val="0"/>
        <w:adjustRightInd w:val="0"/>
        <w:spacing w:after="120"/>
        <w:ind w:left="360"/>
      </w:pPr>
      <w:r w:rsidRPr="00A369E4">
        <w:t xml:space="preserve">The meeting was called to order at 11:03 AM by Chairman Tim </w:t>
      </w:r>
      <w:proofErr w:type="spellStart"/>
      <w:r w:rsidRPr="00A369E4">
        <w:t>Holdway</w:t>
      </w:r>
      <w:proofErr w:type="spellEnd"/>
      <w:r w:rsidR="00C64D3F">
        <w:t>.</w:t>
      </w:r>
    </w:p>
    <w:p w:rsidR="002A11A4" w:rsidRPr="00A369E4" w:rsidRDefault="002A11A4" w:rsidP="005C25D3">
      <w:pPr>
        <w:autoSpaceDE w:val="0"/>
        <w:autoSpaceDN w:val="0"/>
        <w:adjustRightInd w:val="0"/>
        <w:spacing w:after="120"/>
        <w:ind w:left="360"/>
      </w:pPr>
      <w:r w:rsidRPr="00A369E4">
        <w:t>The meeting was convened with fourteen (14) members (out of 21 – therefore a quorum was reached with 67% attending) and 12 guests present with 1 requesting membership.</w:t>
      </w:r>
    </w:p>
    <w:p w:rsidR="002A11A4" w:rsidRPr="00A369E4" w:rsidRDefault="002A11A4" w:rsidP="005C25D3">
      <w:pPr>
        <w:autoSpaceDE w:val="0"/>
        <w:autoSpaceDN w:val="0"/>
        <w:adjustRightInd w:val="0"/>
        <w:spacing w:after="120"/>
        <w:ind w:left="360"/>
      </w:pPr>
      <w:r w:rsidRPr="00A369E4">
        <w:t xml:space="preserve"> The minutes of the San Diego April 11, 2011 meeting were approved.</w:t>
      </w:r>
      <w:r w:rsidRPr="00A369E4">
        <w:br/>
      </w:r>
      <w:r w:rsidRPr="00A369E4">
        <w:tab/>
        <w:t xml:space="preserve">Motion: Mark </w:t>
      </w:r>
      <w:proofErr w:type="spellStart"/>
      <w:r w:rsidRPr="00A369E4">
        <w:t>Gromlovits</w:t>
      </w:r>
      <w:proofErr w:type="spellEnd"/>
      <w:r w:rsidRPr="00A369E4">
        <w:br/>
      </w:r>
      <w:r w:rsidRPr="00A369E4">
        <w:tab/>
        <w:t>Second: Chuck Johnson</w:t>
      </w:r>
    </w:p>
    <w:p w:rsidR="002A11A4" w:rsidRPr="00A369E4" w:rsidRDefault="002A11A4" w:rsidP="005C25D3">
      <w:pPr>
        <w:autoSpaceDE w:val="0"/>
        <w:autoSpaceDN w:val="0"/>
        <w:adjustRightInd w:val="0"/>
        <w:spacing w:after="120"/>
        <w:ind w:left="360"/>
      </w:pPr>
      <w:r w:rsidRPr="00A369E4">
        <w:t xml:space="preserve">Attendees were asked if they knew of any patents that may be related to the work of this working group.  No patents or patent claims pertinent to C57.12.01 were identified by working group members. </w:t>
      </w:r>
    </w:p>
    <w:p w:rsidR="002A11A4" w:rsidRPr="00A369E4" w:rsidRDefault="002A11A4" w:rsidP="005C25D3">
      <w:pPr>
        <w:autoSpaceDE w:val="0"/>
        <w:autoSpaceDN w:val="0"/>
        <w:adjustRightInd w:val="0"/>
        <w:spacing w:after="120"/>
        <w:ind w:left="360"/>
        <w:rPr>
          <w:b/>
          <w:u w:val="single"/>
        </w:rPr>
      </w:pPr>
      <w:r w:rsidRPr="00A369E4">
        <w:rPr>
          <w:b/>
          <w:u w:val="single"/>
        </w:rPr>
        <w:t>Old business</w:t>
      </w:r>
    </w:p>
    <w:p w:rsidR="002A11A4" w:rsidRPr="00A369E4" w:rsidRDefault="002A11A4" w:rsidP="005C25D3">
      <w:pPr>
        <w:autoSpaceDE w:val="0"/>
        <w:autoSpaceDN w:val="0"/>
        <w:adjustRightInd w:val="0"/>
        <w:ind w:left="360"/>
        <w:rPr>
          <w:b/>
        </w:rPr>
      </w:pPr>
      <w:r w:rsidRPr="00A369E4">
        <w:tab/>
      </w:r>
      <w:r w:rsidRPr="00A369E4">
        <w:rPr>
          <w:b/>
        </w:rPr>
        <w:t>Nameplate</w:t>
      </w:r>
    </w:p>
    <w:p w:rsidR="002A11A4" w:rsidRPr="00A369E4" w:rsidRDefault="002A11A4" w:rsidP="005C25D3">
      <w:pPr>
        <w:autoSpaceDE w:val="0"/>
        <w:autoSpaceDN w:val="0"/>
        <w:adjustRightInd w:val="0"/>
        <w:spacing w:after="120"/>
        <w:ind w:left="720"/>
      </w:pPr>
      <w:r w:rsidRPr="00A369E4">
        <w:t xml:space="preserve">Tim </w:t>
      </w:r>
      <w:proofErr w:type="spellStart"/>
      <w:r w:rsidRPr="00A369E4">
        <w:t>Holdway</w:t>
      </w:r>
      <w:proofErr w:type="spellEnd"/>
      <w:r w:rsidRPr="00A369E4">
        <w:t xml:space="preserve"> stated that no nameplate requirements will be placed into C57.12.01 unless the DOE or NEMA specifically requires them.  Any manufacturer that wishes to include text relating to DOE is free to do so.</w:t>
      </w:r>
    </w:p>
    <w:p w:rsidR="002A11A4" w:rsidRPr="00A369E4" w:rsidRDefault="002A11A4" w:rsidP="005C25D3">
      <w:pPr>
        <w:autoSpaceDE w:val="0"/>
        <w:autoSpaceDN w:val="0"/>
        <w:adjustRightInd w:val="0"/>
        <w:ind w:left="360" w:firstLine="360"/>
        <w:rPr>
          <w:b/>
        </w:rPr>
      </w:pPr>
      <w:r w:rsidRPr="00A369E4">
        <w:rPr>
          <w:b/>
        </w:rPr>
        <w:t>Partial Discharge</w:t>
      </w:r>
    </w:p>
    <w:p w:rsidR="002A11A4" w:rsidRPr="00A369E4" w:rsidRDefault="002A11A4" w:rsidP="005C25D3">
      <w:pPr>
        <w:autoSpaceDE w:val="0"/>
        <w:autoSpaceDN w:val="0"/>
        <w:adjustRightInd w:val="0"/>
        <w:spacing w:after="120"/>
        <w:ind w:left="720"/>
      </w:pPr>
      <w:r w:rsidRPr="00A369E4">
        <w:t xml:space="preserve">Rick </w:t>
      </w:r>
      <w:proofErr w:type="spellStart"/>
      <w:r w:rsidRPr="00A369E4">
        <w:t>Marek</w:t>
      </w:r>
      <w:proofErr w:type="spellEnd"/>
      <w:r w:rsidRPr="00A369E4">
        <w:t xml:space="preserve"> presented a power point using data provided from several manufacturers.  The presentation outlined the differences in the current IEEE and future IEEE testing methods relating to time and percent of rated voltage.  He then showed the raw data for layer and disk windings.  The layer windings had &lt; 25pC for all reported measurements.  The disk windings had (3) ‘fliers’ that were above 100pC and the group discussed the origin of such a PD measurement.  It was the general consensus that the PD was external to the windings, but this could not be verified since the waveforms were not supplied to Rick </w:t>
      </w:r>
      <w:proofErr w:type="spellStart"/>
      <w:r w:rsidRPr="00A369E4">
        <w:t>Marek</w:t>
      </w:r>
      <w:proofErr w:type="spellEnd"/>
      <w:r w:rsidRPr="00A369E4">
        <w:t xml:space="preserve"> for analysis.  A brief discussion followed on the appropriate PD level for Open Wound transformers.  Mark </w:t>
      </w:r>
      <w:proofErr w:type="spellStart"/>
      <w:r w:rsidRPr="00A369E4">
        <w:t>Gromlovits</w:t>
      </w:r>
      <w:proofErr w:type="spellEnd"/>
      <w:r w:rsidRPr="00A369E4">
        <w:t xml:space="preserve"> made a motion of 50pC for all Open Wound with a second from Carl Bush.  The motion passed with 9 for and 2 against.</w:t>
      </w:r>
    </w:p>
    <w:p w:rsidR="002A11A4" w:rsidRPr="00A369E4" w:rsidRDefault="002A11A4" w:rsidP="005C25D3">
      <w:pPr>
        <w:autoSpaceDE w:val="0"/>
        <w:autoSpaceDN w:val="0"/>
        <w:adjustRightInd w:val="0"/>
        <w:ind w:left="360"/>
        <w:rPr>
          <w:b/>
        </w:rPr>
      </w:pPr>
      <w:r w:rsidRPr="00A369E4">
        <w:tab/>
      </w:r>
      <w:r w:rsidRPr="00A369E4">
        <w:rPr>
          <w:b/>
        </w:rPr>
        <w:t>No Load Loss Correction</w:t>
      </w:r>
    </w:p>
    <w:p w:rsidR="002A11A4" w:rsidRPr="00A369E4" w:rsidRDefault="002A11A4" w:rsidP="005C25D3">
      <w:pPr>
        <w:autoSpaceDE w:val="0"/>
        <w:autoSpaceDN w:val="0"/>
        <w:adjustRightInd w:val="0"/>
        <w:spacing w:after="120"/>
        <w:ind w:left="720"/>
      </w:pPr>
      <w:r w:rsidRPr="00A369E4">
        <w:t>In San Diego a motion carried that all no load losses should be corrected to 20</w:t>
      </w:r>
      <w:r w:rsidR="005C25D3" w:rsidRPr="00A369E4">
        <w:t>°</w:t>
      </w:r>
      <w:r w:rsidRPr="00A369E4">
        <w:t>C.  After that meeting Casey Ballard questioned how the losses should be corrected.  He supplied the correlating calculation from C57.12.90 Section 8.4 for discussion.  No one present could confirm how the WG for C57.12.90 had determined the equation for loss correction and no actions were assigned to locate the answer.  Chuck Johnson questioned the 20</w:t>
      </w:r>
      <w:r w:rsidR="005C25D3" w:rsidRPr="00A369E4">
        <w:t>°</w:t>
      </w:r>
      <w:r w:rsidRPr="00A369E4">
        <w:t>C in lieu of 75</w:t>
      </w:r>
      <w:r w:rsidR="005C25D3" w:rsidRPr="00A369E4">
        <w:t>°</w:t>
      </w:r>
      <w:r w:rsidRPr="00A369E4">
        <w:t xml:space="preserve">C and Sheldon Kennedy noted that the WG for 12.00 had attempted such a change in the past that was not supported by the end users.  No motions were made.  The group agreed that the no load loss correction equation belonged in 12.91, but since that document is out for ballot it will not make it into the next revision.  Tim </w:t>
      </w:r>
      <w:proofErr w:type="spellStart"/>
      <w:r w:rsidRPr="00A369E4">
        <w:t>Holdway</w:t>
      </w:r>
      <w:proofErr w:type="spellEnd"/>
      <w:r w:rsidRPr="00A369E4">
        <w:t xml:space="preserve"> agreed to determine the proper vehicle for including this calculation into a dry type standard.</w:t>
      </w:r>
    </w:p>
    <w:p w:rsidR="002A11A4" w:rsidRPr="00A369E4" w:rsidRDefault="002A11A4" w:rsidP="005C25D3">
      <w:pPr>
        <w:autoSpaceDE w:val="0"/>
        <w:autoSpaceDN w:val="0"/>
        <w:adjustRightInd w:val="0"/>
        <w:ind w:left="360"/>
        <w:rPr>
          <w:b/>
        </w:rPr>
      </w:pPr>
      <w:r w:rsidRPr="00A369E4">
        <w:tab/>
      </w:r>
      <w:r w:rsidRPr="00A369E4">
        <w:rPr>
          <w:b/>
        </w:rPr>
        <w:t>Altitude Correction</w:t>
      </w:r>
    </w:p>
    <w:p w:rsidR="002A11A4" w:rsidRPr="00A369E4" w:rsidRDefault="002A11A4" w:rsidP="005C25D3">
      <w:pPr>
        <w:autoSpaceDE w:val="0"/>
        <w:autoSpaceDN w:val="0"/>
        <w:adjustRightInd w:val="0"/>
        <w:spacing w:after="120"/>
        <w:ind w:left="720"/>
      </w:pPr>
      <w:r w:rsidRPr="00A369E4">
        <w:t xml:space="preserve">The group agreed that a change was needed to allow for the correction of the dielectric insulation levels for altitude.  However, the group could not agree on the proper calculation since this correction would be based on a complex insulation system of solid insulation and air.  Tim </w:t>
      </w:r>
      <w:proofErr w:type="spellStart"/>
      <w:r w:rsidRPr="00A369E4">
        <w:t>Holdway</w:t>
      </w:r>
      <w:proofErr w:type="spellEnd"/>
      <w:r w:rsidRPr="00A369E4">
        <w:t xml:space="preserve"> proposed the use of the Table 1 </w:t>
      </w:r>
      <w:r w:rsidRPr="00A369E4">
        <w:lastRenderedPageBreak/>
        <w:t>‘as is’, provide additional wording to explain its use, and add example(s) to the Annex.  Tim will circulate his proposal before the spring 2012 meeting.</w:t>
      </w:r>
    </w:p>
    <w:p w:rsidR="002A11A4" w:rsidRPr="00A369E4" w:rsidRDefault="002A11A4" w:rsidP="005C25D3">
      <w:pPr>
        <w:autoSpaceDE w:val="0"/>
        <w:autoSpaceDN w:val="0"/>
        <w:adjustRightInd w:val="0"/>
        <w:ind w:left="360" w:firstLine="360"/>
        <w:rPr>
          <w:b/>
        </w:rPr>
      </w:pPr>
      <w:r w:rsidRPr="00A369E4">
        <w:rPr>
          <w:b/>
        </w:rPr>
        <w:t>Miscellaneous Proposed Changes</w:t>
      </w:r>
    </w:p>
    <w:p w:rsidR="002A11A4" w:rsidRPr="00A369E4" w:rsidRDefault="002A11A4" w:rsidP="005C25D3">
      <w:pPr>
        <w:autoSpaceDE w:val="0"/>
        <w:autoSpaceDN w:val="0"/>
        <w:adjustRightInd w:val="0"/>
        <w:spacing w:after="120"/>
        <w:ind w:left="720"/>
      </w:pPr>
      <w:r w:rsidRPr="00A369E4">
        <w:t>Marcel Fortin agreed to review Tim’s response to his required changes so that all of them could be addressed before the spring 2012 meeting.</w:t>
      </w:r>
    </w:p>
    <w:p w:rsidR="002A11A4" w:rsidRPr="00A369E4" w:rsidRDefault="002A11A4" w:rsidP="005C25D3">
      <w:pPr>
        <w:autoSpaceDE w:val="0"/>
        <w:autoSpaceDN w:val="0"/>
        <w:adjustRightInd w:val="0"/>
        <w:spacing w:after="120"/>
        <w:ind w:left="720"/>
      </w:pPr>
      <w:proofErr w:type="spellStart"/>
      <w:r w:rsidRPr="00A369E4">
        <w:t>Aleksandr</w:t>
      </w:r>
      <w:proofErr w:type="spellEnd"/>
      <w:r w:rsidRPr="00A369E4">
        <w:t xml:space="preserve"> Levin had sent to the Chairman a few of his concerns/proposed changes.  Tim had sent these out to the members a few days before this meeting.  Tim asked that all members please review these proposals and give their comments so we can resolve before the next meeting.</w:t>
      </w:r>
    </w:p>
    <w:p w:rsidR="002A11A4" w:rsidRPr="00A369E4" w:rsidRDefault="002A11A4" w:rsidP="005C25D3">
      <w:pPr>
        <w:autoSpaceDE w:val="0"/>
        <w:autoSpaceDN w:val="0"/>
        <w:adjustRightInd w:val="0"/>
        <w:ind w:left="360"/>
        <w:rPr>
          <w:b/>
          <w:u w:val="single"/>
        </w:rPr>
      </w:pPr>
      <w:r w:rsidRPr="00A369E4">
        <w:rPr>
          <w:b/>
          <w:u w:val="single"/>
        </w:rPr>
        <w:t>New business</w:t>
      </w:r>
    </w:p>
    <w:p w:rsidR="002A11A4" w:rsidRPr="00A369E4" w:rsidRDefault="002A11A4" w:rsidP="005C25D3">
      <w:pPr>
        <w:autoSpaceDE w:val="0"/>
        <w:autoSpaceDN w:val="0"/>
        <w:adjustRightInd w:val="0"/>
        <w:spacing w:after="120"/>
        <w:ind w:left="720"/>
      </w:pPr>
      <w:r w:rsidRPr="00A369E4">
        <w:t>No new business was raised due to time constraints</w:t>
      </w:r>
    </w:p>
    <w:p w:rsidR="002A11A4" w:rsidRPr="00A369E4" w:rsidRDefault="002A11A4" w:rsidP="005C25D3">
      <w:pPr>
        <w:autoSpaceDE w:val="0"/>
        <w:autoSpaceDN w:val="0"/>
        <w:adjustRightInd w:val="0"/>
        <w:spacing w:after="120"/>
        <w:ind w:left="360"/>
      </w:pPr>
      <w:r w:rsidRPr="00A369E4">
        <w:t>Next meeting: Spring 2012: March 11 – 15 Nashville, Tennessee</w:t>
      </w:r>
    </w:p>
    <w:p w:rsidR="001C7082" w:rsidRPr="00A369E4" w:rsidRDefault="002A11A4" w:rsidP="005C25D3">
      <w:pPr>
        <w:autoSpaceDE w:val="0"/>
        <w:autoSpaceDN w:val="0"/>
        <w:adjustRightInd w:val="0"/>
        <w:spacing w:after="120"/>
        <w:ind w:left="360"/>
      </w:pPr>
      <w:r w:rsidRPr="00A369E4">
        <w:t>With no further business, the meeting was adjourned at 12:17 PM.</w:t>
      </w:r>
      <w:r w:rsidR="005C25D3" w:rsidRPr="00A369E4">
        <w:br/>
      </w:r>
      <w:r w:rsidR="005C25D3" w:rsidRPr="00A369E4">
        <w:tab/>
      </w:r>
      <w:r w:rsidRPr="00A369E4">
        <w:t xml:space="preserve">Motion: Mark </w:t>
      </w:r>
      <w:proofErr w:type="spellStart"/>
      <w:r w:rsidRPr="00A369E4">
        <w:t>Gromlovits</w:t>
      </w:r>
      <w:proofErr w:type="spellEnd"/>
      <w:r w:rsidR="005C25D3" w:rsidRPr="00A369E4">
        <w:br/>
      </w:r>
      <w:r w:rsidR="005C25D3" w:rsidRPr="00A369E4">
        <w:tab/>
      </w:r>
      <w:r w:rsidRPr="00A369E4">
        <w:t>Second: Chuck Johnson</w:t>
      </w:r>
    </w:p>
    <w:p w:rsidR="001C7082" w:rsidRPr="00A369E4" w:rsidRDefault="001C7082" w:rsidP="001C7082">
      <w:pPr>
        <w:autoSpaceDE w:val="0"/>
        <w:autoSpaceDN w:val="0"/>
        <w:adjustRightInd w:val="0"/>
      </w:pPr>
    </w:p>
    <w:p w:rsidR="003C2954" w:rsidRPr="00A369E4" w:rsidRDefault="00643486" w:rsidP="002C49D2">
      <w:pPr>
        <w:pStyle w:val="Heading2"/>
        <w:widowControl w:val="0"/>
        <w:numPr>
          <w:ilvl w:val="3"/>
          <w:numId w:val="21"/>
        </w:numPr>
        <w:tabs>
          <w:tab w:val="left" w:pos="900"/>
          <w:tab w:val="right" w:pos="9360"/>
        </w:tabs>
        <w:overflowPunct w:val="0"/>
        <w:autoSpaceDE w:val="0"/>
        <w:autoSpaceDN w:val="0"/>
        <w:adjustRightInd w:val="0"/>
        <w:spacing w:before="0" w:after="120"/>
        <w:jc w:val="both"/>
        <w:textAlignment w:val="baseline"/>
        <w:rPr>
          <w:rFonts w:ascii="Times New Roman" w:hAnsi="Times New Roman" w:cs="Times New Roman"/>
          <w:i w:val="0"/>
          <w:sz w:val="20"/>
          <w:szCs w:val="20"/>
        </w:rPr>
      </w:pPr>
      <w:r w:rsidRPr="00A369E4">
        <w:rPr>
          <w:rFonts w:ascii="Times New Roman" w:hAnsi="Times New Roman" w:cs="Times New Roman"/>
          <w:i w:val="0"/>
          <w:sz w:val="20"/>
          <w:szCs w:val="20"/>
        </w:rPr>
        <w:t xml:space="preserve"> WG </w:t>
      </w:r>
      <w:r w:rsidR="00091F5C" w:rsidRPr="00A369E4">
        <w:rPr>
          <w:rFonts w:ascii="Times New Roman" w:hAnsi="Times New Roman" w:cs="Times New Roman"/>
          <w:i w:val="0"/>
          <w:sz w:val="20"/>
          <w:szCs w:val="20"/>
        </w:rPr>
        <w:t>PC57.12.91 - Dry Type Test Code</w:t>
      </w:r>
      <w:r w:rsidR="00091F5C" w:rsidRPr="00A369E4">
        <w:rPr>
          <w:rFonts w:ascii="Times New Roman" w:hAnsi="Times New Roman" w:cs="Times New Roman"/>
          <w:i w:val="0"/>
          <w:sz w:val="20"/>
          <w:szCs w:val="20"/>
        </w:rPr>
        <w:tab/>
        <w:t>Chair Derek Foster</w:t>
      </w:r>
    </w:p>
    <w:p w:rsidR="002C49D2" w:rsidRPr="00A369E4" w:rsidRDefault="002C49D2" w:rsidP="002C49D2">
      <w:pPr>
        <w:spacing w:after="120"/>
        <w:ind w:left="360"/>
        <w:outlineLvl w:val="0"/>
      </w:pPr>
      <w:r w:rsidRPr="00A369E4">
        <w:t xml:space="preserve">The working group met at 3:15 pm in the Pacific C Meeting Room of the Renaissance Waterfront Hotel in Boston, Massachusetts with 10 members and 9 guests present.  </w:t>
      </w:r>
    </w:p>
    <w:p w:rsidR="002C49D2" w:rsidRPr="00A369E4" w:rsidRDefault="002C49D2" w:rsidP="002C49D2">
      <w:pPr>
        <w:spacing w:after="120"/>
        <w:ind w:left="360"/>
        <w:outlineLvl w:val="0"/>
      </w:pPr>
      <w:r w:rsidRPr="00A369E4">
        <w:t>There were no patent issues regarding this standard.</w:t>
      </w:r>
    </w:p>
    <w:p w:rsidR="002C49D2" w:rsidRPr="00A369E4" w:rsidRDefault="002C49D2" w:rsidP="002C49D2">
      <w:pPr>
        <w:spacing w:after="120"/>
        <w:ind w:left="360"/>
        <w:outlineLvl w:val="0"/>
      </w:pPr>
      <w:r w:rsidRPr="00A369E4">
        <w:t>The minutes of the last meeting, held in San Diego, were approved as written.</w:t>
      </w:r>
    </w:p>
    <w:p w:rsidR="002C49D2" w:rsidRPr="00A369E4" w:rsidRDefault="002C49D2" w:rsidP="002C49D2">
      <w:pPr>
        <w:spacing w:after="120"/>
        <w:ind w:left="360"/>
        <w:outlineLvl w:val="0"/>
        <w:rPr>
          <w:b/>
          <w:u w:val="single"/>
        </w:rPr>
      </w:pPr>
      <w:r w:rsidRPr="00A369E4">
        <w:rPr>
          <w:b/>
          <w:u w:val="single"/>
        </w:rPr>
        <w:t>Old Business</w:t>
      </w:r>
    </w:p>
    <w:p w:rsidR="002C49D2" w:rsidRPr="00A369E4" w:rsidRDefault="002C49D2" w:rsidP="002C49D2">
      <w:pPr>
        <w:spacing w:after="120"/>
        <w:ind w:left="720"/>
        <w:outlineLvl w:val="0"/>
      </w:pPr>
      <w:r w:rsidRPr="00A369E4">
        <w:t xml:space="preserve">The recirculation ballot for this standard, held in early October was successful, with 91% of ballots returned, and 86 affirmative votes of the 92 returned. The document will now be reviewed by </w:t>
      </w:r>
      <w:proofErr w:type="spellStart"/>
      <w:r w:rsidRPr="00A369E4">
        <w:t>RevCom</w:t>
      </w:r>
      <w:proofErr w:type="spellEnd"/>
      <w:r w:rsidRPr="00A369E4">
        <w:t xml:space="preserve"> at its December 6th meeting.</w:t>
      </w:r>
    </w:p>
    <w:p w:rsidR="002C49D2" w:rsidRPr="00A369E4" w:rsidRDefault="002C49D2" w:rsidP="002C49D2">
      <w:pPr>
        <w:spacing w:after="120"/>
        <w:ind w:left="720"/>
        <w:outlineLvl w:val="0"/>
      </w:pPr>
      <w:r w:rsidRPr="00A369E4">
        <w:t>Since work on the current revision is now complete, the meeting was spent reviewing several topics which should be considered during the next revision.</w:t>
      </w:r>
    </w:p>
    <w:p w:rsidR="002C49D2" w:rsidRPr="00A369E4" w:rsidRDefault="002C49D2" w:rsidP="002C49D2">
      <w:pPr>
        <w:spacing w:after="120"/>
        <w:ind w:left="720"/>
        <w:outlineLvl w:val="0"/>
      </w:pPr>
      <w:r w:rsidRPr="00A369E4">
        <w:t>These included temperature rise test procedures, short circuit tests, partial discharge tests, dielectric tests for transformers used at high altitudes, and audible sound level measurements.</w:t>
      </w:r>
    </w:p>
    <w:p w:rsidR="002C49D2" w:rsidRPr="00A369E4" w:rsidRDefault="002C49D2" w:rsidP="002C49D2">
      <w:pPr>
        <w:spacing w:after="120"/>
        <w:ind w:left="720"/>
        <w:outlineLvl w:val="0"/>
      </w:pPr>
      <w:r w:rsidRPr="00A369E4">
        <w:t>For the temperature rise test procedures David Vinson and Carl Bush agreed to review this section of the standard.</w:t>
      </w:r>
    </w:p>
    <w:p w:rsidR="002C49D2" w:rsidRPr="00A369E4" w:rsidRDefault="002C49D2" w:rsidP="002C49D2">
      <w:pPr>
        <w:spacing w:after="120"/>
        <w:ind w:left="720"/>
        <w:outlineLvl w:val="0"/>
      </w:pPr>
      <w:r w:rsidRPr="00A369E4">
        <w:t>Marcel Fortin will lead a task force to review short circuit tests.</w:t>
      </w:r>
    </w:p>
    <w:p w:rsidR="002C49D2" w:rsidRPr="00A369E4" w:rsidRDefault="002C49D2" w:rsidP="002C49D2">
      <w:pPr>
        <w:spacing w:after="120"/>
        <w:ind w:left="720"/>
        <w:outlineLvl w:val="0"/>
      </w:pPr>
      <w:r w:rsidRPr="00A369E4">
        <w:t>Marcel also mentioned some topics which are being reviewed by the C57.12.90 task force, and which we may also want to review. These included resistance measurements and impulse voltage wave tail time for low impedance windings.</w:t>
      </w:r>
    </w:p>
    <w:p w:rsidR="002C49D2" w:rsidRPr="00A369E4" w:rsidRDefault="002C49D2" w:rsidP="002C49D2">
      <w:pPr>
        <w:spacing w:after="120"/>
        <w:ind w:left="720"/>
        <w:outlineLvl w:val="0"/>
      </w:pPr>
      <w:r w:rsidRPr="00A369E4">
        <w:t>Regarding partial discharge tests, there was a short discussion on whether to include the contents of C57.124 IEEE Recommended Practice for the Detection of Partial Discharge and the Measurement of Apparent Charge in Dry -Type Transformers</w:t>
      </w:r>
      <w:proofErr w:type="gramStart"/>
      <w:r w:rsidRPr="00A369E4">
        <w:t>,  into</w:t>
      </w:r>
      <w:proofErr w:type="gramEnd"/>
      <w:r w:rsidRPr="00A369E4">
        <w:t xml:space="preserve"> this document, or whether to include just a reference to C57.124. This will be decided during the revision process.</w:t>
      </w:r>
    </w:p>
    <w:p w:rsidR="002C49D2" w:rsidRPr="00A369E4" w:rsidRDefault="002C49D2" w:rsidP="002C49D2">
      <w:pPr>
        <w:spacing w:after="120"/>
        <w:ind w:left="720"/>
        <w:outlineLvl w:val="0"/>
      </w:pPr>
      <w:r w:rsidRPr="00A369E4">
        <w:t>During the balloting process, a number of comments were received regarding the quality of some of the drawings in the standard, so all drawings and diagrams will be reviewed during the next revision and redrawn where necessary. Casey Ballard agreed to assist with this task.</w:t>
      </w:r>
    </w:p>
    <w:p w:rsidR="002C49D2" w:rsidRPr="00A369E4" w:rsidRDefault="002C49D2" w:rsidP="002C49D2">
      <w:pPr>
        <w:spacing w:after="120"/>
        <w:ind w:left="720"/>
        <w:outlineLvl w:val="0"/>
      </w:pPr>
      <w:r w:rsidRPr="00A369E4">
        <w:t>Casey had raised a question regarding the reference temperature to be used for no load losses and the temperature correction formula to be used. This item is also being considered by the C57.12.01 working group, so we will work with that group on this subject to ensure consistency between the two standards.</w:t>
      </w:r>
    </w:p>
    <w:p w:rsidR="00EA372A" w:rsidRPr="00A369E4" w:rsidRDefault="002C49D2" w:rsidP="002C49D2">
      <w:pPr>
        <w:spacing w:after="120"/>
        <w:ind w:left="360"/>
        <w:outlineLvl w:val="0"/>
      </w:pPr>
      <w:r w:rsidRPr="00A369E4">
        <w:t>The meeting ended at 4:10 pm.</w:t>
      </w:r>
    </w:p>
    <w:p w:rsidR="00D81B74" w:rsidRPr="00A369E4" w:rsidRDefault="00643486" w:rsidP="00C5603C">
      <w:pPr>
        <w:pStyle w:val="Heading2"/>
        <w:widowControl w:val="0"/>
        <w:numPr>
          <w:ilvl w:val="3"/>
          <w:numId w:val="21"/>
        </w:numPr>
        <w:tabs>
          <w:tab w:val="left" w:pos="720"/>
          <w:tab w:val="left" w:pos="900"/>
          <w:tab w:val="right" w:pos="9360"/>
        </w:tabs>
        <w:overflowPunct w:val="0"/>
        <w:autoSpaceDE w:val="0"/>
        <w:autoSpaceDN w:val="0"/>
        <w:adjustRightInd w:val="0"/>
        <w:spacing w:before="0" w:after="120"/>
        <w:jc w:val="both"/>
        <w:textAlignment w:val="baseline"/>
        <w:rPr>
          <w:rFonts w:ascii="Times New Roman" w:hAnsi="Times New Roman" w:cs="Times New Roman"/>
          <w:i w:val="0"/>
          <w:sz w:val="20"/>
          <w:szCs w:val="20"/>
        </w:rPr>
      </w:pPr>
      <w:r w:rsidRPr="00A369E4">
        <w:rPr>
          <w:rFonts w:ascii="Times New Roman" w:hAnsi="Times New Roman" w:cs="Times New Roman"/>
          <w:i w:val="0"/>
          <w:sz w:val="20"/>
          <w:szCs w:val="20"/>
        </w:rPr>
        <w:t xml:space="preserve"> WG </w:t>
      </w:r>
      <w:r w:rsidR="00D81B74" w:rsidRPr="00A369E4">
        <w:rPr>
          <w:rFonts w:ascii="Times New Roman" w:hAnsi="Times New Roman" w:cs="Times New Roman"/>
          <w:i w:val="0"/>
          <w:sz w:val="20"/>
          <w:szCs w:val="20"/>
        </w:rPr>
        <w:t>PC57.12.52 - Sealed Dry Type Power Transformers</w:t>
      </w:r>
      <w:r w:rsidR="00D81B74" w:rsidRPr="00A369E4">
        <w:rPr>
          <w:rFonts w:ascii="Times New Roman" w:hAnsi="Times New Roman" w:cs="Times New Roman"/>
          <w:i w:val="0"/>
          <w:sz w:val="20"/>
          <w:szCs w:val="20"/>
        </w:rPr>
        <w:tab/>
        <w:t>Chair Sheldon Kennedy</w:t>
      </w:r>
    </w:p>
    <w:p w:rsidR="002C49D2" w:rsidRPr="00A369E4" w:rsidRDefault="002C49D2" w:rsidP="007A2AB6">
      <w:pPr>
        <w:pStyle w:val="ListParagraph"/>
        <w:spacing w:after="120"/>
        <w:ind w:left="360"/>
      </w:pPr>
      <w:r w:rsidRPr="00A369E4">
        <w:t>The Working Group met on Monday, October 31, 2011 at 9:30 AM with 11 members and 6 guests present. Sheldon Kennedy chaired the meeting. We had a quorum for the meeting.</w:t>
      </w:r>
    </w:p>
    <w:p w:rsidR="002C49D2" w:rsidRPr="00A369E4" w:rsidRDefault="002C49D2" w:rsidP="007A2AB6">
      <w:pPr>
        <w:pStyle w:val="ListParagraph"/>
        <w:spacing w:after="120"/>
        <w:ind w:left="360"/>
      </w:pPr>
      <w:r w:rsidRPr="00A369E4">
        <w:lastRenderedPageBreak/>
        <w:t>The IEEE disclosure statement was read. There were no patents pertaining to this standards work for which any members had awareness.</w:t>
      </w:r>
    </w:p>
    <w:p w:rsidR="002C49D2" w:rsidRPr="00A369E4" w:rsidRDefault="002C49D2" w:rsidP="007A2AB6">
      <w:pPr>
        <w:pStyle w:val="ListParagraph"/>
        <w:spacing w:after="120"/>
        <w:ind w:left="360"/>
      </w:pPr>
      <w:r w:rsidRPr="00A369E4">
        <w:t xml:space="preserve">Minutes of the April 11, 2011 meeting in San Diego were approved. </w:t>
      </w:r>
    </w:p>
    <w:p w:rsidR="007A2AB6" w:rsidRPr="00A369E4" w:rsidRDefault="002C49D2" w:rsidP="007A2AB6">
      <w:pPr>
        <w:pStyle w:val="ListParagraph"/>
        <w:spacing w:after="120"/>
        <w:ind w:left="360"/>
      </w:pPr>
      <w:r w:rsidRPr="00A369E4">
        <w:t xml:space="preserve">Draft 5 of the document was balloted. </w:t>
      </w:r>
    </w:p>
    <w:p w:rsidR="002C49D2" w:rsidRPr="00A369E4" w:rsidRDefault="002C49D2" w:rsidP="007A2AB6">
      <w:pPr>
        <w:pStyle w:val="ListParagraph"/>
        <w:spacing w:after="120"/>
        <w:ind w:left="360"/>
      </w:pPr>
      <w:r w:rsidRPr="00A369E4">
        <w:t>We had met the requirement for a valid response ballot with 82 % returned. We had 96% approval rate. We have 57 comments to resolve, 9 must be satisfied. There are 3 negative ballots which must be addressed. That is what we will spend our time on.</w:t>
      </w:r>
    </w:p>
    <w:tbl>
      <w:tblPr>
        <w:tblW w:w="5826" w:type="dxa"/>
        <w:tblCellSpacing w:w="0" w:type="dxa"/>
        <w:tblInd w:w="-180" w:type="dxa"/>
        <w:tblLayout w:type="fixed"/>
        <w:tblCellMar>
          <w:left w:w="0" w:type="dxa"/>
          <w:right w:w="0" w:type="dxa"/>
        </w:tblCellMar>
        <w:tblLook w:val="0000"/>
      </w:tblPr>
      <w:tblGrid>
        <w:gridCol w:w="180"/>
        <w:gridCol w:w="3600"/>
        <w:gridCol w:w="2046"/>
      </w:tblGrid>
      <w:tr w:rsidR="002C49D2" w:rsidRPr="00A369E4" w:rsidTr="00643486">
        <w:trPr>
          <w:gridBefore w:val="1"/>
          <w:wBefore w:w="180" w:type="dxa"/>
          <w:tblCellSpacing w:w="0" w:type="dxa"/>
        </w:trPr>
        <w:tc>
          <w:tcPr>
            <w:tcW w:w="5646" w:type="dxa"/>
            <w:gridSpan w:val="2"/>
            <w:vAlign w:val="center"/>
          </w:tcPr>
          <w:tbl>
            <w:tblPr>
              <w:tblW w:w="0" w:type="auto"/>
              <w:tblCellSpacing w:w="15" w:type="dxa"/>
              <w:tblInd w:w="360" w:type="dxa"/>
              <w:tblLayout w:type="fixed"/>
              <w:tblCellMar>
                <w:top w:w="15" w:type="dxa"/>
                <w:left w:w="15" w:type="dxa"/>
                <w:bottom w:w="15" w:type="dxa"/>
                <w:right w:w="15" w:type="dxa"/>
              </w:tblCellMar>
              <w:tblLook w:val="0000"/>
            </w:tblPr>
            <w:tblGrid>
              <w:gridCol w:w="2481"/>
              <w:gridCol w:w="1153"/>
            </w:tblGrid>
            <w:tr w:rsidR="002C49D2" w:rsidRPr="00A369E4" w:rsidTr="00643486">
              <w:trPr>
                <w:trHeight w:val="72"/>
                <w:tblCellSpacing w:w="15" w:type="dxa"/>
              </w:trPr>
              <w:tc>
                <w:tcPr>
                  <w:tcW w:w="2436" w:type="dxa"/>
                  <w:vAlign w:val="center"/>
                </w:tcPr>
                <w:p w:rsidR="002C49D2" w:rsidRPr="00A369E4" w:rsidRDefault="002C49D2" w:rsidP="002C6A68">
                  <w:r w:rsidRPr="00A369E4">
                    <w:t>Ballot Open Date:</w:t>
                  </w:r>
                </w:p>
              </w:tc>
              <w:tc>
                <w:tcPr>
                  <w:tcW w:w="1108" w:type="dxa"/>
                  <w:vAlign w:val="center"/>
                </w:tcPr>
                <w:p w:rsidR="002C49D2" w:rsidRPr="00A369E4" w:rsidRDefault="002C49D2" w:rsidP="007A2AB6">
                  <w:r w:rsidRPr="00A369E4">
                    <w:t>19-Aug-2011</w:t>
                  </w:r>
                </w:p>
              </w:tc>
            </w:tr>
            <w:tr w:rsidR="002C49D2" w:rsidRPr="00A369E4" w:rsidTr="00643486">
              <w:trPr>
                <w:trHeight w:val="72"/>
                <w:tblCellSpacing w:w="15" w:type="dxa"/>
              </w:trPr>
              <w:tc>
                <w:tcPr>
                  <w:tcW w:w="2436" w:type="dxa"/>
                  <w:vAlign w:val="center"/>
                </w:tcPr>
                <w:p w:rsidR="002C49D2" w:rsidRPr="00A369E4" w:rsidRDefault="002C49D2" w:rsidP="002C6A68">
                  <w:r w:rsidRPr="00A369E4">
                    <w:t>Ballot Close Date:</w:t>
                  </w:r>
                </w:p>
              </w:tc>
              <w:tc>
                <w:tcPr>
                  <w:tcW w:w="1108" w:type="dxa"/>
                  <w:vAlign w:val="center"/>
                </w:tcPr>
                <w:p w:rsidR="002C49D2" w:rsidRPr="00A369E4" w:rsidRDefault="002C49D2" w:rsidP="007A2AB6">
                  <w:r w:rsidRPr="00A369E4">
                    <w:t>18-Sep-2011</w:t>
                  </w:r>
                </w:p>
              </w:tc>
            </w:tr>
            <w:tr w:rsidR="002C49D2" w:rsidRPr="00A369E4" w:rsidTr="00643486">
              <w:trPr>
                <w:trHeight w:val="72"/>
                <w:tblCellSpacing w:w="15" w:type="dxa"/>
              </w:trPr>
              <w:tc>
                <w:tcPr>
                  <w:tcW w:w="2436" w:type="dxa"/>
                  <w:vAlign w:val="center"/>
                </w:tcPr>
                <w:p w:rsidR="002C49D2" w:rsidRPr="00A369E4" w:rsidRDefault="002C49D2" w:rsidP="002C6A68">
                  <w:r w:rsidRPr="00A369E4">
                    <w:t>Type:</w:t>
                  </w:r>
                </w:p>
              </w:tc>
              <w:tc>
                <w:tcPr>
                  <w:tcW w:w="1108" w:type="dxa"/>
                  <w:vAlign w:val="center"/>
                </w:tcPr>
                <w:p w:rsidR="002C49D2" w:rsidRPr="00A369E4" w:rsidRDefault="002C49D2" w:rsidP="007A2AB6">
                  <w:r w:rsidRPr="00A369E4">
                    <w:t>New</w:t>
                  </w:r>
                </w:p>
              </w:tc>
            </w:tr>
            <w:tr w:rsidR="002C49D2" w:rsidRPr="00A369E4" w:rsidTr="00643486">
              <w:trPr>
                <w:trHeight w:val="72"/>
                <w:tblCellSpacing w:w="15" w:type="dxa"/>
              </w:trPr>
              <w:tc>
                <w:tcPr>
                  <w:tcW w:w="2436" w:type="dxa"/>
                  <w:vAlign w:val="center"/>
                </w:tcPr>
                <w:p w:rsidR="002C49D2" w:rsidRPr="00A369E4" w:rsidRDefault="002C49D2" w:rsidP="002C6A68">
                  <w:r w:rsidRPr="00A369E4">
                    <w:t>Draft #:</w:t>
                  </w:r>
                </w:p>
              </w:tc>
              <w:tc>
                <w:tcPr>
                  <w:tcW w:w="1108" w:type="dxa"/>
                  <w:vAlign w:val="center"/>
                </w:tcPr>
                <w:p w:rsidR="002C49D2" w:rsidRPr="00A369E4" w:rsidRDefault="002C49D2" w:rsidP="007A2AB6">
                  <w:r w:rsidRPr="00A369E4">
                    <w:t>5</w:t>
                  </w:r>
                </w:p>
              </w:tc>
            </w:tr>
            <w:tr w:rsidR="002C49D2" w:rsidRPr="00A369E4" w:rsidTr="00643486">
              <w:trPr>
                <w:trHeight w:val="72"/>
                <w:tblCellSpacing w:w="15" w:type="dxa"/>
              </w:trPr>
              <w:tc>
                <w:tcPr>
                  <w:tcW w:w="2436" w:type="dxa"/>
                  <w:vAlign w:val="center"/>
                </w:tcPr>
                <w:p w:rsidR="002C49D2" w:rsidRPr="00A369E4" w:rsidRDefault="002C49D2" w:rsidP="002C6A68">
                  <w:r w:rsidRPr="00A369E4">
                    <w:t>Comments:</w:t>
                  </w:r>
                </w:p>
              </w:tc>
              <w:tc>
                <w:tcPr>
                  <w:tcW w:w="1108" w:type="dxa"/>
                  <w:vAlign w:val="center"/>
                </w:tcPr>
                <w:p w:rsidR="002C49D2" w:rsidRPr="00A369E4" w:rsidRDefault="002C49D2" w:rsidP="007A2AB6">
                  <w:r w:rsidRPr="00A369E4">
                    <w:t>57</w:t>
                  </w:r>
                </w:p>
              </w:tc>
            </w:tr>
            <w:tr w:rsidR="002C49D2" w:rsidRPr="00A369E4" w:rsidTr="00643486">
              <w:trPr>
                <w:trHeight w:val="72"/>
                <w:tblCellSpacing w:w="15" w:type="dxa"/>
              </w:trPr>
              <w:tc>
                <w:tcPr>
                  <w:tcW w:w="2436" w:type="dxa"/>
                  <w:vAlign w:val="center"/>
                </w:tcPr>
                <w:p w:rsidR="002C49D2" w:rsidRPr="00A369E4" w:rsidRDefault="002C49D2" w:rsidP="002C6A68">
                  <w:r w:rsidRPr="00A369E4">
                    <w:t>Must Be Satisfied Comments:</w:t>
                  </w:r>
                </w:p>
              </w:tc>
              <w:tc>
                <w:tcPr>
                  <w:tcW w:w="1108" w:type="dxa"/>
                  <w:vAlign w:val="center"/>
                </w:tcPr>
                <w:p w:rsidR="002C49D2" w:rsidRPr="00A369E4" w:rsidRDefault="002C49D2" w:rsidP="007A2AB6">
                  <w:r w:rsidRPr="00A369E4">
                    <w:t>9</w:t>
                  </w:r>
                </w:p>
              </w:tc>
            </w:tr>
          </w:tbl>
          <w:p w:rsidR="002C49D2" w:rsidRPr="00A369E4" w:rsidRDefault="002C49D2" w:rsidP="007A2AB6"/>
        </w:tc>
      </w:tr>
      <w:tr w:rsidR="002C49D2" w:rsidRPr="00A369E4" w:rsidTr="00643486">
        <w:trPr>
          <w:gridBefore w:val="1"/>
          <w:wBefore w:w="180" w:type="dxa"/>
          <w:tblCellSpacing w:w="0" w:type="dxa"/>
        </w:trPr>
        <w:tc>
          <w:tcPr>
            <w:tcW w:w="5646" w:type="dxa"/>
            <w:gridSpan w:val="2"/>
            <w:vAlign w:val="center"/>
          </w:tcPr>
          <w:p w:rsidR="002C49D2" w:rsidRPr="00A369E4" w:rsidRDefault="002C49D2" w:rsidP="007A2AB6">
            <w:r w:rsidRPr="00A369E4">
              <w:t> </w:t>
            </w:r>
          </w:p>
        </w:tc>
      </w:tr>
      <w:tr w:rsidR="002C49D2" w:rsidRPr="00A369E4" w:rsidTr="00643486">
        <w:trPr>
          <w:gridBefore w:val="1"/>
          <w:wBefore w:w="180" w:type="dxa"/>
          <w:tblCellSpacing w:w="0" w:type="dxa"/>
        </w:trPr>
        <w:tc>
          <w:tcPr>
            <w:tcW w:w="5646" w:type="dxa"/>
            <w:gridSpan w:val="2"/>
            <w:vAlign w:val="center"/>
          </w:tcPr>
          <w:p w:rsidR="002C49D2" w:rsidRPr="000A7753" w:rsidRDefault="002C49D2" w:rsidP="002C6A68">
            <w:pPr>
              <w:ind w:left="360"/>
              <w:rPr>
                <w:b/>
                <w:u w:val="single"/>
              </w:rPr>
            </w:pPr>
            <w:r w:rsidRPr="000A7753">
              <w:rPr>
                <w:b/>
                <w:bCs/>
                <w:u w:val="single"/>
              </w:rPr>
              <w:t>RESPONSE RATE</w:t>
            </w:r>
          </w:p>
        </w:tc>
      </w:tr>
      <w:tr w:rsidR="002C49D2" w:rsidRPr="00A369E4" w:rsidTr="00643486">
        <w:trPr>
          <w:gridBefore w:val="1"/>
          <w:wBefore w:w="180" w:type="dxa"/>
          <w:tblCellSpacing w:w="0" w:type="dxa"/>
        </w:trPr>
        <w:tc>
          <w:tcPr>
            <w:tcW w:w="5646" w:type="dxa"/>
            <w:gridSpan w:val="2"/>
            <w:vAlign w:val="center"/>
          </w:tcPr>
          <w:p w:rsidR="002C49D2" w:rsidRPr="00A369E4" w:rsidRDefault="002C49D2" w:rsidP="002C6A68">
            <w:pPr>
              <w:ind w:left="360"/>
            </w:pPr>
            <w:r w:rsidRPr="00A369E4">
              <w:t xml:space="preserve">This ballot has met the 75% returned ballot requirement. </w:t>
            </w:r>
          </w:p>
        </w:tc>
      </w:tr>
      <w:tr w:rsidR="002C49D2" w:rsidRPr="00A369E4" w:rsidTr="00643486">
        <w:trPr>
          <w:gridBefore w:val="1"/>
          <w:wBefore w:w="180" w:type="dxa"/>
          <w:tblCellSpacing w:w="0" w:type="dxa"/>
        </w:trPr>
        <w:tc>
          <w:tcPr>
            <w:tcW w:w="5646" w:type="dxa"/>
            <w:gridSpan w:val="2"/>
            <w:vAlign w:val="center"/>
          </w:tcPr>
          <w:p w:rsidR="002C49D2" w:rsidRPr="00A369E4" w:rsidRDefault="002C49D2" w:rsidP="002C6A68"/>
        </w:tc>
      </w:tr>
      <w:tr w:rsidR="002C49D2" w:rsidRPr="00A369E4" w:rsidTr="00643486">
        <w:trPr>
          <w:gridBefore w:val="1"/>
          <w:wBefore w:w="180" w:type="dxa"/>
          <w:tblCellSpacing w:w="0" w:type="dxa"/>
        </w:trPr>
        <w:tc>
          <w:tcPr>
            <w:tcW w:w="5646" w:type="dxa"/>
            <w:gridSpan w:val="2"/>
            <w:vAlign w:val="center"/>
          </w:tcPr>
          <w:p w:rsidR="002C49D2" w:rsidRPr="00A369E4" w:rsidRDefault="002C49D2" w:rsidP="002C6A68">
            <w:pPr>
              <w:ind w:left="360"/>
            </w:pPr>
            <w:r w:rsidRPr="00A369E4">
              <w:t xml:space="preserve">95 eligible people in this ballot group. </w:t>
            </w:r>
          </w:p>
        </w:tc>
      </w:tr>
      <w:tr w:rsidR="002C49D2" w:rsidRPr="00A369E4" w:rsidTr="00643486">
        <w:trPr>
          <w:gridBefore w:val="1"/>
          <w:wBefore w:w="180" w:type="dxa"/>
          <w:tblCellSpacing w:w="0" w:type="dxa"/>
        </w:trPr>
        <w:tc>
          <w:tcPr>
            <w:tcW w:w="5646" w:type="dxa"/>
            <w:gridSpan w:val="2"/>
            <w:vAlign w:val="center"/>
          </w:tcPr>
          <w:tbl>
            <w:tblPr>
              <w:tblW w:w="5234" w:type="dxa"/>
              <w:tblCellSpacing w:w="15" w:type="dxa"/>
              <w:tblLayout w:type="fixed"/>
              <w:tblCellMar>
                <w:top w:w="15" w:type="dxa"/>
                <w:left w:w="15" w:type="dxa"/>
                <w:bottom w:w="15" w:type="dxa"/>
                <w:right w:w="15" w:type="dxa"/>
              </w:tblCellMar>
              <w:tblLook w:val="0000"/>
            </w:tblPr>
            <w:tblGrid>
              <w:gridCol w:w="340"/>
              <w:gridCol w:w="242"/>
              <w:gridCol w:w="262"/>
              <w:gridCol w:w="107"/>
              <w:gridCol w:w="3914"/>
              <w:gridCol w:w="261"/>
              <w:gridCol w:w="108"/>
            </w:tblGrid>
            <w:tr w:rsidR="002C49D2" w:rsidRPr="00A369E4" w:rsidTr="00643486">
              <w:trPr>
                <w:gridBefore w:val="1"/>
                <w:gridAfter w:val="1"/>
                <w:wBefore w:w="288" w:type="pct"/>
                <w:wAfter w:w="33" w:type="pct"/>
                <w:tblCellSpacing w:w="15" w:type="dxa"/>
              </w:trPr>
              <w:tc>
                <w:tcPr>
                  <w:tcW w:w="434" w:type="pct"/>
                  <w:gridSpan w:val="2"/>
                  <w:vAlign w:val="center"/>
                </w:tcPr>
                <w:p w:rsidR="002C49D2" w:rsidRPr="00A369E4" w:rsidRDefault="002C49D2" w:rsidP="002C6A68">
                  <w:r w:rsidRPr="00A369E4">
                    <w:t>73</w:t>
                  </w:r>
                </w:p>
              </w:tc>
              <w:tc>
                <w:tcPr>
                  <w:tcW w:w="4101" w:type="pct"/>
                  <w:gridSpan w:val="3"/>
                  <w:vAlign w:val="center"/>
                </w:tcPr>
                <w:p w:rsidR="002C49D2" w:rsidRPr="00A369E4" w:rsidRDefault="002C49D2" w:rsidP="002C6A68">
                  <w:r w:rsidRPr="00A369E4">
                    <w:t>affirmative votes</w:t>
                  </w:r>
                </w:p>
              </w:tc>
            </w:tr>
            <w:tr w:rsidR="002C49D2" w:rsidRPr="00A369E4" w:rsidTr="00643486">
              <w:trPr>
                <w:gridBefore w:val="1"/>
                <w:gridAfter w:val="1"/>
                <w:wBefore w:w="288" w:type="pct"/>
                <w:wAfter w:w="33" w:type="pct"/>
                <w:tblCellSpacing w:w="15" w:type="dxa"/>
              </w:trPr>
              <w:tc>
                <w:tcPr>
                  <w:tcW w:w="434" w:type="pct"/>
                  <w:gridSpan w:val="2"/>
                  <w:vAlign w:val="center"/>
                </w:tcPr>
                <w:p w:rsidR="002C49D2" w:rsidRPr="00A369E4" w:rsidRDefault="002C49D2" w:rsidP="002C6A68">
                  <w:r w:rsidRPr="00A369E4">
                    <w:t>3</w:t>
                  </w:r>
                </w:p>
              </w:tc>
              <w:tc>
                <w:tcPr>
                  <w:tcW w:w="4101" w:type="pct"/>
                  <w:gridSpan w:val="3"/>
                  <w:vAlign w:val="center"/>
                </w:tcPr>
                <w:p w:rsidR="002C49D2" w:rsidRPr="00A369E4" w:rsidRDefault="002C49D2" w:rsidP="002C6A68">
                  <w:r w:rsidRPr="00A369E4">
                    <w:t>negative votes with comments</w:t>
                  </w:r>
                </w:p>
              </w:tc>
            </w:tr>
            <w:tr w:rsidR="002C49D2" w:rsidRPr="00A369E4" w:rsidTr="00643486">
              <w:trPr>
                <w:gridBefore w:val="1"/>
                <w:gridAfter w:val="1"/>
                <w:wBefore w:w="288" w:type="pct"/>
                <w:wAfter w:w="33" w:type="pct"/>
                <w:tblCellSpacing w:w="15" w:type="dxa"/>
              </w:trPr>
              <w:tc>
                <w:tcPr>
                  <w:tcW w:w="434" w:type="pct"/>
                  <w:gridSpan w:val="2"/>
                  <w:vAlign w:val="center"/>
                </w:tcPr>
                <w:p w:rsidR="002C49D2" w:rsidRPr="00A369E4" w:rsidRDefault="002C49D2" w:rsidP="002C6A68">
                  <w:r w:rsidRPr="00A369E4">
                    <w:t>0</w:t>
                  </w:r>
                </w:p>
              </w:tc>
              <w:tc>
                <w:tcPr>
                  <w:tcW w:w="4101" w:type="pct"/>
                  <w:gridSpan w:val="3"/>
                  <w:vAlign w:val="center"/>
                </w:tcPr>
                <w:p w:rsidR="002C49D2" w:rsidRPr="00A369E4" w:rsidRDefault="002C49D2" w:rsidP="002C6A68">
                  <w:r w:rsidRPr="00A369E4">
                    <w:t>negative votes without comments</w:t>
                  </w:r>
                </w:p>
              </w:tc>
            </w:tr>
            <w:tr w:rsidR="002C49D2" w:rsidRPr="00A369E4" w:rsidTr="00643486">
              <w:trPr>
                <w:gridBefore w:val="1"/>
                <w:gridAfter w:val="1"/>
                <w:wBefore w:w="288" w:type="pct"/>
                <w:wAfter w:w="33" w:type="pct"/>
                <w:tblCellSpacing w:w="15" w:type="dxa"/>
              </w:trPr>
              <w:tc>
                <w:tcPr>
                  <w:tcW w:w="434" w:type="pct"/>
                  <w:gridSpan w:val="2"/>
                  <w:vAlign w:val="center"/>
                </w:tcPr>
                <w:p w:rsidR="002C49D2" w:rsidRPr="00A369E4" w:rsidRDefault="002C49D2" w:rsidP="002C6A68">
                  <w:r w:rsidRPr="00A369E4">
                    <w:t>2</w:t>
                  </w:r>
                </w:p>
              </w:tc>
              <w:tc>
                <w:tcPr>
                  <w:tcW w:w="4101" w:type="pct"/>
                  <w:gridSpan w:val="3"/>
                  <w:vAlign w:val="center"/>
                </w:tcPr>
                <w:p w:rsidR="002C49D2" w:rsidRPr="00A369E4" w:rsidRDefault="002C49D2" w:rsidP="002C6A68">
                  <w:r w:rsidRPr="00A369E4">
                    <w:t>abstention votes: (Lack of expertise: 2)</w:t>
                  </w:r>
                </w:p>
              </w:tc>
            </w:tr>
            <w:tr w:rsidR="002C49D2" w:rsidRPr="00A369E4" w:rsidTr="00643486">
              <w:trPr>
                <w:gridAfter w:val="2"/>
                <w:wAfter w:w="288" w:type="pct"/>
                <w:tblCellSpacing w:w="15" w:type="dxa"/>
              </w:trPr>
              <w:tc>
                <w:tcPr>
                  <w:tcW w:w="495" w:type="pct"/>
                  <w:gridSpan w:val="2"/>
                  <w:vAlign w:val="center"/>
                </w:tcPr>
                <w:tbl>
                  <w:tblPr>
                    <w:tblW w:w="5000" w:type="pct"/>
                    <w:tblCellSpacing w:w="0" w:type="dxa"/>
                    <w:tblLayout w:type="fixed"/>
                    <w:tblCellMar>
                      <w:left w:w="0" w:type="dxa"/>
                      <w:right w:w="0" w:type="dxa"/>
                    </w:tblCellMar>
                    <w:tblLook w:val="0000"/>
                  </w:tblPr>
                  <w:tblGrid>
                    <w:gridCol w:w="507"/>
                  </w:tblGrid>
                  <w:tr w:rsidR="000A7753" w:rsidRPr="00A369E4" w:rsidTr="00643486">
                    <w:trPr>
                      <w:tblCellSpacing w:w="0" w:type="dxa"/>
                    </w:trPr>
                    <w:tc>
                      <w:tcPr>
                        <w:tcW w:w="507" w:type="dxa"/>
                        <w:shd w:val="clear" w:color="auto" w:fill="FFFFFF"/>
                        <w:vAlign w:val="center"/>
                      </w:tcPr>
                      <w:p w:rsidR="000A7753" w:rsidRPr="00A369E4" w:rsidRDefault="000A7753" w:rsidP="007A2AB6"/>
                    </w:tc>
                  </w:tr>
                </w:tbl>
                <w:p w:rsidR="002C49D2" w:rsidRPr="00A369E4" w:rsidRDefault="002C49D2" w:rsidP="007A2AB6"/>
              </w:tc>
              <w:tc>
                <w:tcPr>
                  <w:tcW w:w="4102" w:type="pct"/>
                  <w:gridSpan w:val="3"/>
                  <w:vAlign w:val="center"/>
                </w:tcPr>
                <w:p w:rsidR="002C49D2" w:rsidRPr="00A369E4" w:rsidRDefault="002C49D2" w:rsidP="007A2AB6"/>
              </w:tc>
            </w:tr>
            <w:tr w:rsidR="002C49D2" w:rsidRPr="00A369E4" w:rsidTr="00643486">
              <w:trPr>
                <w:gridBefore w:val="1"/>
                <w:wBefore w:w="288" w:type="pct"/>
                <w:tblCellSpacing w:w="15" w:type="dxa"/>
              </w:trPr>
              <w:tc>
                <w:tcPr>
                  <w:tcW w:w="509" w:type="pct"/>
                  <w:gridSpan w:val="3"/>
                  <w:vAlign w:val="center"/>
                </w:tcPr>
                <w:p w:rsidR="002C49D2" w:rsidRPr="00A369E4" w:rsidRDefault="002C49D2" w:rsidP="002C6A68">
                  <w:r w:rsidRPr="00A369E4">
                    <w:t>78</w:t>
                  </w:r>
                </w:p>
              </w:tc>
              <w:tc>
                <w:tcPr>
                  <w:tcW w:w="4088" w:type="pct"/>
                  <w:gridSpan w:val="3"/>
                  <w:vAlign w:val="center"/>
                </w:tcPr>
                <w:p w:rsidR="002C49D2" w:rsidRPr="00A369E4" w:rsidRDefault="002C49D2" w:rsidP="002C6A68">
                  <w:r w:rsidRPr="00A369E4">
                    <w:t>votes received = 82% returned</w:t>
                  </w:r>
                  <w:r w:rsidR="000A7753">
                    <w:t xml:space="preserve">, </w:t>
                  </w:r>
                  <w:r w:rsidR="000A7753" w:rsidRPr="00A369E4">
                    <w:t>2% abstention</w:t>
                  </w:r>
                </w:p>
              </w:tc>
            </w:tr>
            <w:tr w:rsidR="002C49D2" w:rsidRPr="00A369E4" w:rsidTr="00643486">
              <w:trPr>
                <w:gridBefore w:val="1"/>
                <w:wBefore w:w="288" w:type="pct"/>
                <w:tblCellSpacing w:w="15" w:type="dxa"/>
              </w:trPr>
              <w:tc>
                <w:tcPr>
                  <w:tcW w:w="509" w:type="pct"/>
                  <w:gridSpan w:val="3"/>
                  <w:vAlign w:val="center"/>
                </w:tcPr>
                <w:p w:rsidR="002C49D2" w:rsidRPr="00A369E4" w:rsidRDefault="002C49D2" w:rsidP="002C6A68">
                  <w:r w:rsidRPr="00A369E4">
                    <w:t> </w:t>
                  </w:r>
                </w:p>
              </w:tc>
              <w:tc>
                <w:tcPr>
                  <w:tcW w:w="4088" w:type="pct"/>
                  <w:gridSpan w:val="3"/>
                  <w:vAlign w:val="center"/>
                </w:tcPr>
                <w:p w:rsidR="002C49D2" w:rsidRPr="00A369E4" w:rsidRDefault="002C49D2" w:rsidP="000A7753">
                  <w:r w:rsidRPr="00A369E4">
                    <w:t>                         </w:t>
                  </w:r>
                </w:p>
              </w:tc>
            </w:tr>
          </w:tbl>
          <w:p w:rsidR="002C49D2" w:rsidRPr="00A369E4" w:rsidRDefault="002C49D2" w:rsidP="007A2AB6"/>
        </w:tc>
      </w:tr>
      <w:tr w:rsidR="002C49D2" w:rsidRPr="00A369E4" w:rsidTr="00643486">
        <w:trPr>
          <w:gridBefore w:val="1"/>
          <w:wBefore w:w="180" w:type="dxa"/>
          <w:tblCellSpacing w:w="0" w:type="dxa"/>
        </w:trPr>
        <w:tc>
          <w:tcPr>
            <w:tcW w:w="5646" w:type="dxa"/>
            <w:gridSpan w:val="2"/>
            <w:vAlign w:val="center"/>
          </w:tcPr>
          <w:p w:rsidR="002C49D2" w:rsidRPr="000A7753" w:rsidRDefault="002C49D2" w:rsidP="00643486">
            <w:pPr>
              <w:ind w:left="360"/>
              <w:rPr>
                <w:b/>
                <w:u w:val="single"/>
              </w:rPr>
            </w:pPr>
            <w:r w:rsidRPr="000A7753">
              <w:rPr>
                <w:b/>
                <w:bCs/>
                <w:u w:val="single"/>
              </w:rPr>
              <w:t>APPROVAL RATE</w:t>
            </w:r>
          </w:p>
        </w:tc>
      </w:tr>
      <w:tr w:rsidR="002C49D2" w:rsidRPr="00A369E4" w:rsidTr="00643486">
        <w:trPr>
          <w:gridBefore w:val="1"/>
          <w:wBefore w:w="180" w:type="dxa"/>
          <w:tblCellSpacing w:w="0" w:type="dxa"/>
        </w:trPr>
        <w:tc>
          <w:tcPr>
            <w:tcW w:w="5646" w:type="dxa"/>
            <w:gridSpan w:val="2"/>
            <w:vAlign w:val="center"/>
          </w:tcPr>
          <w:p w:rsidR="002C49D2" w:rsidRPr="00A369E4" w:rsidRDefault="002C49D2" w:rsidP="00643486">
            <w:pPr>
              <w:ind w:left="360"/>
            </w:pPr>
            <w:r w:rsidRPr="00A369E4">
              <w:t xml:space="preserve">The 75% affirmation requirement is being met. </w:t>
            </w:r>
          </w:p>
        </w:tc>
      </w:tr>
      <w:tr w:rsidR="002C49D2" w:rsidRPr="00A369E4" w:rsidTr="00643486">
        <w:trPr>
          <w:gridAfter w:val="1"/>
          <w:wAfter w:w="2046" w:type="dxa"/>
          <w:tblCellSpacing w:w="0" w:type="dxa"/>
        </w:trPr>
        <w:tc>
          <w:tcPr>
            <w:tcW w:w="3780" w:type="dxa"/>
            <w:gridSpan w:val="2"/>
            <w:vAlign w:val="center"/>
          </w:tcPr>
          <w:tbl>
            <w:tblPr>
              <w:tblW w:w="5234" w:type="dxa"/>
              <w:tblCellSpacing w:w="15" w:type="dxa"/>
              <w:tblInd w:w="412" w:type="dxa"/>
              <w:tblLayout w:type="fixed"/>
              <w:tblCellMar>
                <w:top w:w="15" w:type="dxa"/>
                <w:left w:w="15" w:type="dxa"/>
                <w:bottom w:w="15" w:type="dxa"/>
                <w:right w:w="15" w:type="dxa"/>
              </w:tblCellMar>
              <w:tblLook w:val="0000"/>
            </w:tblPr>
            <w:tblGrid>
              <w:gridCol w:w="495"/>
              <w:gridCol w:w="4739"/>
            </w:tblGrid>
            <w:tr w:rsidR="002C49D2" w:rsidRPr="00A369E4" w:rsidTr="00643486">
              <w:trPr>
                <w:tblCellSpacing w:w="15" w:type="dxa"/>
              </w:trPr>
              <w:tc>
                <w:tcPr>
                  <w:tcW w:w="450" w:type="dxa"/>
                  <w:vAlign w:val="center"/>
                </w:tcPr>
                <w:p w:rsidR="002C49D2" w:rsidRPr="00A369E4" w:rsidRDefault="002C49D2" w:rsidP="00643486">
                  <w:pPr>
                    <w:ind w:left="83"/>
                  </w:pPr>
                  <w:r w:rsidRPr="00A369E4">
                    <w:t>73</w:t>
                  </w:r>
                </w:p>
              </w:tc>
              <w:tc>
                <w:tcPr>
                  <w:tcW w:w="4694" w:type="dxa"/>
                  <w:vAlign w:val="center"/>
                </w:tcPr>
                <w:p w:rsidR="002C49D2" w:rsidRPr="00A369E4" w:rsidRDefault="002C49D2" w:rsidP="00643486">
                  <w:pPr>
                    <w:ind w:left="86"/>
                  </w:pPr>
                  <w:r w:rsidRPr="00A369E4">
                    <w:t>affirmative votes</w:t>
                  </w:r>
                </w:p>
              </w:tc>
            </w:tr>
            <w:tr w:rsidR="002C49D2" w:rsidRPr="00A369E4" w:rsidTr="00643486">
              <w:trPr>
                <w:tblCellSpacing w:w="15" w:type="dxa"/>
              </w:trPr>
              <w:tc>
                <w:tcPr>
                  <w:tcW w:w="450" w:type="dxa"/>
                  <w:vAlign w:val="center"/>
                </w:tcPr>
                <w:p w:rsidR="002C49D2" w:rsidRPr="00A369E4" w:rsidRDefault="002C49D2" w:rsidP="00643486">
                  <w:pPr>
                    <w:ind w:left="83"/>
                  </w:pPr>
                  <w:r w:rsidRPr="00A369E4">
                    <w:t>3</w:t>
                  </w:r>
                </w:p>
              </w:tc>
              <w:tc>
                <w:tcPr>
                  <w:tcW w:w="4694" w:type="dxa"/>
                  <w:vAlign w:val="center"/>
                </w:tcPr>
                <w:p w:rsidR="002C49D2" w:rsidRPr="00A369E4" w:rsidRDefault="002C49D2" w:rsidP="00643486">
                  <w:pPr>
                    <w:ind w:left="86"/>
                  </w:pPr>
                  <w:r w:rsidRPr="00A369E4">
                    <w:t>negative votes with comments</w:t>
                  </w:r>
                </w:p>
              </w:tc>
            </w:tr>
            <w:tr w:rsidR="002C49D2" w:rsidRPr="00A369E4" w:rsidTr="00643486">
              <w:trPr>
                <w:tblCellSpacing w:w="15" w:type="dxa"/>
              </w:trPr>
              <w:tc>
                <w:tcPr>
                  <w:tcW w:w="450" w:type="dxa"/>
                  <w:vAlign w:val="center"/>
                </w:tcPr>
                <w:tbl>
                  <w:tblPr>
                    <w:tblW w:w="5000" w:type="pct"/>
                    <w:tblCellSpacing w:w="0" w:type="dxa"/>
                    <w:tblLayout w:type="fixed"/>
                    <w:tblCellMar>
                      <w:left w:w="0" w:type="dxa"/>
                      <w:right w:w="0" w:type="dxa"/>
                    </w:tblCellMar>
                    <w:tblLook w:val="0000"/>
                  </w:tblPr>
                  <w:tblGrid>
                    <w:gridCol w:w="420"/>
                  </w:tblGrid>
                  <w:tr w:rsidR="002C49D2" w:rsidRPr="00A369E4" w:rsidTr="00643486">
                    <w:trPr>
                      <w:tblCellSpacing w:w="0" w:type="dxa"/>
                    </w:trPr>
                    <w:tc>
                      <w:tcPr>
                        <w:tcW w:w="420" w:type="dxa"/>
                        <w:shd w:val="clear" w:color="auto" w:fill="FFFFFF"/>
                        <w:vAlign w:val="center"/>
                      </w:tcPr>
                      <w:p w:rsidR="002C49D2" w:rsidRPr="00A369E4" w:rsidRDefault="006F11B6" w:rsidP="00643486">
                        <w:pPr>
                          <w:ind w:left="8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t" style="width:.8pt;height:.8pt"/>
                          </w:pict>
                        </w:r>
                      </w:p>
                    </w:tc>
                  </w:tr>
                </w:tbl>
                <w:p w:rsidR="002C49D2" w:rsidRPr="00A369E4" w:rsidRDefault="002C49D2" w:rsidP="00643486">
                  <w:pPr>
                    <w:ind w:left="83"/>
                  </w:pPr>
                </w:p>
              </w:tc>
              <w:tc>
                <w:tcPr>
                  <w:tcW w:w="4694" w:type="dxa"/>
                  <w:vAlign w:val="center"/>
                </w:tcPr>
                <w:p w:rsidR="002C49D2" w:rsidRPr="00A369E4" w:rsidRDefault="002C49D2" w:rsidP="00643486">
                  <w:pPr>
                    <w:ind w:left="86"/>
                  </w:pPr>
                </w:p>
              </w:tc>
            </w:tr>
            <w:tr w:rsidR="002C49D2" w:rsidRPr="00A369E4" w:rsidTr="00643486">
              <w:trPr>
                <w:tblCellSpacing w:w="15" w:type="dxa"/>
              </w:trPr>
              <w:tc>
                <w:tcPr>
                  <w:tcW w:w="450" w:type="dxa"/>
                  <w:vAlign w:val="center"/>
                </w:tcPr>
                <w:p w:rsidR="002C49D2" w:rsidRPr="00A369E4" w:rsidRDefault="002C49D2" w:rsidP="00643486">
                  <w:pPr>
                    <w:ind w:left="83"/>
                  </w:pPr>
                  <w:r w:rsidRPr="00A369E4">
                    <w:t>76</w:t>
                  </w:r>
                </w:p>
              </w:tc>
              <w:tc>
                <w:tcPr>
                  <w:tcW w:w="4694" w:type="dxa"/>
                  <w:vAlign w:val="center"/>
                </w:tcPr>
                <w:p w:rsidR="002C49D2" w:rsidRPr="00A369E4" w:rsidRDefault="002C49D2" w:rsidP="00643486">
                  <w:pPr>
                    <w:ind w:left="83"/>
                  </w:pPr>
                  <w:r w:rsidRPr="00A369E4">
                    <w:t>votes = 96% affirmative</w:t>
                  </w:r>
                </w:p>
              </w:tc>
            </w:tr>
          </w:tbl>
          <w:p w:rsidR="002C49D2" w:rsidRPr="00A369E4" w:rsidRDefault="002C49D2" w:rsidP="00643486">
            <w:pPr>
              <w:ind w:left="83"/>
            </w:pPr>
          </w:p>
        </w:tc>
      </w:tr>
    </w:tbl>
    <w:p w:rsidR="002C49D2" w:rsidRPr="00A369E4" w:rsidRDefault="002C49D2" w:rsidP="00643486">
      <w:pPr>
        <w:pStyle w:val="ListParagraph"/>
        <w:spacing w:after="120"/>
        <w:ind w:left="360"/>
      </w:pPr>
      <w:r w:rsidRPr="00A369E4">
        <w:t xml:space="preserve">The Working Group reviewed the comments received in the ballot of Draft 5. After a review of the comments and possible responses it was decided to re-circulate the modified draft to see if it is acceptable to the Working Group. We will allow a two week period for this. Assuming that is successful we will do a formal </w:t>
      </w:r>
      <w:r w:rsidR="00643486" w:rsidRPr="00A369E4">
        <w:t>r</w:t>
      </w:r>
      <w:r w:rsidRPr="00A369E4">
        <w:t>e-</w:t>
      </w:r>
      <w:r w:rsidR="00643486" w:rsidRPr="00A369E4">
        <w:t>c</w:t>
      </w:r>
      <w:r w:rsidRPr="00A369E4">
        <w:t xml:space="preserve">irculation </w:t>
      </w:r>
      <w:r w:rsidR="00643486" w:rsidRPr="00A369E4">
        <w:t>b</w:t>
      </w:r>
      <w:r w:rsidRPr="00A369E4">
        <w:t xml:space="preserve">allot in </w:t>
      </w:r>
      <w:r w:rsidR="00643486" w:rsidRPr="00A369E4">
        <w:t xml:space="preserve">the </w:t>
      </w:r>
      <w:r w:rsidRPr="00A369E4">
        <w:t xml:space="preserve">IEEE. </w:t>
      </w:r>
    </w:p>
    <w:p w:rsidR="002C49D2" w:rsidRPr="00A369E4" w:rsidRDefault="002C49D2" w:rsidP="00643486">
      <w:pPr>
        <w:pStyle w:val="ListParagraph"/>
        <w:spacing w:after="120"/>
        <w:ind w:left="360"/>
      </w:pPr>
      <w:r w:rsidRPr="00A369E4">
        <w:t xml:space="preserve">There were no other comments.  </w:t>
      </w:r>
    </w:p>
    <w:p w:rsidR="002C49D2" w:rsidRPr="00A369E4" w:rsidRDefault="002C49D2" w:rsidP="00643486">
      <w:pPr>
        <w:pStyle w:val="ListParagraph"/>
        <w:spacing w:after="120"/>
        <w:ind w:left="360"/>
      </w:pPr>
      <w:r w:rsidRPr="00A369E4">
        <w:t>There was no other old business or new business.</w:t>
      </w:r>
    </w:p>
    <w:p w:rsidR="002C49D2" w:rsidRPr="00A369E4" w:rsidRDefault="002C49D2" w:rsidP="00643486">
      <w:pPr>
        <w:pStyle w:val="ListParagraph"/>
        <w:spacing w:after="120"/>
        <w:ind w:left="360"/>
      </w:pPr>
      <w:r w:rsidRPr="00A369E4">
        <w:t>The meeting was adjourned at 10:30 AM.</w:t>
      </w:r>
    </w:p>
    <w:p w:rsidR="0026528E" w:rsidRPr="00A369E4" w:rsidRDefault="0026528E" w:rsidP="0026528E"/>
    <w:p w:rsidR="008235A1" w:rsidRPr="00A369E4" w:rsidRDefault="00643486" w:rsidP="007E6BC8">
      <w:pPr>
        <w:widowControl w:val="0"/>
        <w:numPr>
          <w:ilvl w:val="3"/>
          <w:numId w:val="21"/>
        </w:numPr>
        <w:tabs>
          <w:tab w:val="left" w:pos="720"/>
          <w:tab w:val="left" w:pos="900"/>
          <w:tab w:val="right" w:pos="9360"/>
        </w:tabs>
        <w:overflowPunct w:val="0"/>
        <w:autoSpaceDE w:val="0"/>
        <w:autoSpaceDN w:val="0"/>
        <w:adjustRightInd w:val="0"/>
        <w:spacing w:after="120"/>
        <w:jc w:val="both"/>
        <w:textAlignment w:val="baseline"/>
        <w:rPr>
          <w:b/>
        </w:rPr>
      </w:pPr>
      <w:r w:rsidRPr="00A369E4">
        <w:rPr>
          <w:b/>
        </w:rPr>
        <w:t xml:space="preserve"> </w:t>
      </w:r>
      <w:r w:rsidR="008235A1" w:rsidRPr="00A369E4">
        <w:rPr>
          <w:b/>
        </w:rPr>
        <w:t>WG Dry Type Loading Guide C57.96</w:t>
      </w:r>
      <w:r w:rsidR="008235A1" w:rsidRPr="00A369E4">
        <w:rPr>
          <w:b/>
        </w:rPr>
        <w:tab/>
        <w:t>Chair Rick Marek</w:t>
      </w:r>
    </w:p>
    <w:p w:rsidR="00B647C1" w:rsidRPr="00A369E4" w:rsidRDefault="00B647C1" w:rsidP="00B647C1">
      <w:pPr>
        <w:spacing w:after="120"/>
        <w:ind w:left="360"/>
      </w:pPr>
      <w:r w:rsidRPr="00A369E4">
        <w:t>The fourth meeting of the working group was held in the Pacific C of the Renaissance Waterfront Hotel in Boston, MA at 1:47pm with 11 members and 8 guests in attendance.  Introductions were made, and the attendance sheet was passed around.  With 17 members there was a quorum and the minutes of the last meeting were approved as submitted.</w:t>
      </w:r>
    </w:p>
    <w:p w:rsidR="00B647C1" w:rsidRPr="00A369E4" w:rsidRDefault="00B647C1" w:rsidP="00B647C1">
      <w:pPr>
        <w:spacing w:after="120"/>
        <w:ind w:left="360"/>
      </w:pPr>
      <w:r w:rsidRPr="00A369E4">
        <w:t>The Chair presented an overview of the 2</w:t>
      </w:r>
      <w:r w:rsidRPr="00A369E4">
        <w:rPr>
          <w:vertAlign w:val="superscript"/>
        </w:rPr>
        <w:t>nd</w:t>
      </w:r>
      <w:r w:rsidRPr="00A369E4">
        <w:t xml:space="preserve"> draft and commented on the overall structure of the document.  It included some copy/paste information for discussion during the meeting that will not remain in the 3</w:t>
      </w:r>
      <w:r w:rsidRPr="00A369E4">
        <w:rPr>
          <w:vertAlign w:val="superscript"/>
        </w:rPr>
        <w:t>rd</w:t>
      </w:r>
      <w:r w:rsidRPr="00A369E4">
        <w:t xml:space="preserve"> draft.</w:t>
      </w:r>
    </w:p>
    <w:p w:rsidR="00B647C1" w:rsidRPr="00A369E4" w:rsidRDefault="00B647C1" w:rsidP="00B647C1">
      <w:pPr>
        <w:spacing w:after="120"/>
        <w:ind w:left="360"/>
      </w:pPr>
      <w:r w:rsidRPr="00A369E4">
        <w:t xml:space="preserve">It was brought up that two definitions were missing from Section 3 - Open Wound Dry Type Transformers and Sealed Dry Type Transformer.  The Chair asked for three volunteers to submit their proposals and </w:t>
      </w:r>
      <w:proofErr w:type="spellStart"/>
      <w:r w:rsidRPr="00A369E4">
        <w:t>Aleksandr</w:t>
      </w:r>
      <w:proofErr w:type="spellEnd"/>
      <w:r w:rsidRPr="00A369E4">
        <w:t xml:space="preserve"> Levin, Chuck Johnson, and John K. John volunteered.</w:t>
      </w:r>
    </w:p>
    <w:p w:rsidR="00B647C1" w:rsidRPr="00A369E4" w:rsidRDefault="00B647C1" w:rsidP="00B647C1">
      <w:pPr>
        <w:spacing w:after="120"/>
        <w:ind w:left="360"/>
      </w:pPr>
      <w:r w:rsidRPr="00A369E4">
        <w:lastRenderedPageBreak/>
        <w:t xml:space="preserve">The discussion then moved to Table 1, “Continuous per unit loading capability as a function of ambient temperature”.  A question was raised on the ambient temperature level for Table 1 and it was confirmed that it was 30C based on paragraph 4.2 which describes transformer rated output.  Mark </w:t>
      </w:r>
      <w:proofErr w:type="spellStart"/>
      <w:r w:rsidRPr="00A369E4">
        <w:t>Gromlovits</w:t>
      </w:r>
      <w:proofErr w:type="spellEnd"/>
      <w:r w:rsidRPr="00A369E4">
        <w:t xml:space="preserve"> asked why a 240C insulation system was not included in the document, but declined to make a motion.  The Chair advised that inclusion of insulation systems should be addressed in C57.12.01.  The attendees of the meeting could not determine what equation was used to develop Table 1 and </w:t>
      </w:r>
      <w:proofErr w:type="spellStart"/>
      <w:r w:rsidRPr="00A369E4">
        <w:t>Sanjib</w:t>
      </w:r>
      <w:proofErr w:type="spellEnd"/>
      <w:r w:rsidRPr="00A369E4">
        <w:t xml:space="preserve"> </w:t>
      </w:r>
      <w:proofErr w:type="spellStart"/>
      <w:r w:rsidRPr="00A369E4">
        <w:t>Som</w:t>
      </w:r>
      <w:proofErr w:type="spellEnd"/>
      <w:r w:rsidRPr="00A369E4">
        <w:t xml:space="preserve"> volunteered to create the required equation.</w:t>
      </w:r>
    </w:p>
    <w:p w:rsidR="00B647C1" w:rsidRPr="00A369E4" w:rsidRDefault="00B647C1" w:rsidP="00B647C1">
      <w:pPr>
        <w:spacing w:after="120"/>
        <w:ind w:left="360"/>
      </w:pPr>
      <w:r w:rsidRPr="00A369E4">
        <w:t xml:space="preserve">A discussion was then held on Table 2, “Influence of altitude on loading”.  The attendees of the meeting could not determine what equation(s) was used to fill out Table 2 and </w:t>
      </w:r>
      <w:proofErr w:type="spellStart"/>
      <w:r w:rsidRPr="00A369E4">
        <w:t>Aleksandr</w:t>
      </w:r>
      <w:proofErr w:type="spellEnd"/>
      <w:r w:rsidRPr="00A369E4">
        <w:t xml:space="preserve"> Levin and </w:t>
      </w:r>
      <w:proofErr w:type="spellStart"/>
      <w:r w:rsidRPr="00A369E4">
        <w:t>Dhiru</w:t>
      </w:r>
      <w:proofErr w:type="spellEnd"/>
      <w:r w:rsidRPr="00A369E4">
        <w:t xml:space="preserve"> Patel volunteered to create the required equation(s). </w:t>
      </w:r>
    </w:p>
    <w:p w:rsidR="00B647C1" w:rsidRPr="00A369E4" w:rsidRDefault="00B647C1" w:rsidP="00B647C1">
      <w:pPr>
        <w:spacing w:after="120"/>
        <w:ind w:left="360"/>
      </w:pPr>
      <w:r w:rsidRPr="00A369E4">
        <w:t>The life equations were discussed and the chair noted that the variables were based on industry-accepted values.  The new document will have similar values, but a manufacturer could use different values based on their internal test data.  The chair encouraged the members to review the equations and send him comments.</w:t>
      </w:r>
    </w:p>
    <w:p w:rsidR="00B647C1" w:rsidRPr="00A369E4" w:rsidRDefault="00B647C1" w:rsidP="00B647C1">
      <w:pPr>
        <w:spacing w:after="120"/>
        <w:ind w:left="360"/>
      </w:pPr>
      <w:r w:rsidRPr="00A369E4">
        <w:t>Chuck Johnson requested that the core temperature estimate in Section 5.3, Page 14, Line 3 be revised to include the text “, other values may be used if test data is available”</w:t>
      </w:r>
    </w:p>
    <w:p w:rsidR="00B647C1" w:rsidRPr="00A369E4" w:rsidRDefault="00B647C1" w:rsidP="00B647C1">
      <w:pPr>
        <w:spacing w:after="120"/>
        <w:ind w:left="360"/>
      </w:pPr>
      <w:r w:rsidRPr="00A369E4">
        <w:t>The question if the impact of moisture should be included in this guide was raised, but the allotted time for the meeting was exceeded and no discussion occurred.</w:t>
      </w:r>
    </w:p>
    <w:p w:rsidR="00B647C1" w:rsidRPr="00A369E4" w:rsidRDefault="00B647C1" w:rsidP="00B647C1">
      <w:pPr>
        <w:spacing w:after="120"/>
        <w:ind w:left="360"/>
      </w:pPr>
      <w:r w:rsidRPr="00A369E4">
        <w:t>The Chair agreed to make the discussed changes, remove the duplicate data/tables as referenced above and send to the WG by 1Q12.</w:t>
      </w:r>
    </w:p>
    <w:p w:rsidR="00B647C1" w:rsidRPr="00A369E4" w:rsidRDefault="00B647C1" w:rsidP="00B647C1">
      <w:pPr>
        <w:spacing w:after="120"/>
        <w:ind w:left="360"/>
      </w:pPr>
      <w:r w:rsidRPr="00A369E4">
        <w:t>Two guests requested membership.</w:t>
      </w:r>
    </w:p>
    <w:p w:rsidR="0026528E" w:rsidRPr="00A369E4" w:rsidRDefault="00B647C1" w:rsidP="00B647C1">
      <w:pPr>
        <w:spacing w:after="120"/>
        <w:ind w:left="360"/>
      </w:pPr>
      <w:r w:rsidRPr="00A369E4">
        <w:t>The meeting adjourned at 3:05pm.</w:t>
      </w:r>
    </w:p>
    <w:p w:rsidR="00E52A64" w:rsidRPr="00A369E4" w:rsidRDefault="00E52A64" w:rsidP="00C5603C">
      <w:pPr>
        <w:pStyle w:val="Heading2"/>
        <w:widowControl w:val="0"/>
        <w:numPr>
          <w:ilvl w:val="2"/>
          <w:numId w:val="21"/>
        </w:numPr>
        <w:tabs>
          <w:tab w:val="left" w:pos="720"/>
          <w:tab w:val="right" w:pos="9360"/>
        </w:tabs>
        <w:overflowPunct w:val="0"/>
        <w:autoSpaceDE w:val="0"/>
        <w:autoSpaceDN w:val="0"/>
        <w:adjustRightInd w:val="0"/>
        <w:spacing w:before="0" w:after="120"/>
        <w:jc w:val="both"/>
        <w:textAlignment w:val="baseline"/>
        <w:rPr>
          <w:rFonts w:ascii="Times New Roman" w:hAnsi="Times New Roman" w:cs="Times New Roman"/>
          <w:i w:val="0"/>
          <w:sz w:val="20"/>
          <w:szCs w:val="20"/>
        </w:rPr>
      </w:pPr>
      <w:r w:rsidRPr="00A369E4">
        <w:rPr>
          <w:rFonts w:ascii="Times New Roman" w:hAnsi="Times New Roman" w:cs="Times New Roman"/>
          <w:i w:val="0"/>
          <w:sz w:val="20"/>
          <w:szCs w:val="20"/>
        </w:rPr>
        <w:t>Old Business</w:t>
      </w:r>
    </w:p>
    <w:p w:rsidR="0005157C" w:rsidRPr="00A369E4" w:rsidRDefault="0071705C" w:rsidP="00731A8A">
      <w:pPr>
        <w:autoSpaceDE w:val="0"/>
        <w:autoSpaceDN w:val="0"/>
        <w:adjustRightInd w:val="0"/>
        <w:spacing w:after="120"/>
        <w:ind w:left="360"/>
      </w:pPr>
      <w:r w:rsidRPr="00A369E4">
        <w:t>There was no old business</w:t>
      </w:r>
      <w:r w:rsidR="009617E8" w:rsidRPr="00A369E4">
        <w:t>.</w:t>
      </w:r>
    </w:p>
    <w:p w:rsidR="00E52A64" w:rsidRPr="00A369E4" w:rsidRDefault="00E52A64" w:rsidP="00C5603C">
      <w:pPr>
        <w:pStyle w:val="Heading2"/>
        <w:widowControl w:val="0"/>
        <w:numPr>
          <w:ilvl w:val="2"/>
          <w:numId w:val="21"/>
        </w:numPr>
        <w:tabs>
          <w:tab w:val="left" w:pos="720"/>
          <w:tab w:val="right" w:pos="9360"/>
        </w:tabs>
        <w:overflowPunct w:val="0"/>
        <w:autoSpaceDE w:val="0"/>
        <w:autoSpaceDN w:val="0"/>
        <w:adjustRightInd w:val="0"/>
        <w:spacing w:before="0" w:after="120"/>
        <w:jc w:val="both"/>
        <w:textAlignment w:val="baseline"/>
        <w:rPr>
          <w:rFonts w:ascii="Times New Roman" w:hAnsi="Times New Roman" w:cs="Times New Roman"/>
          <w:i w:val="0"/>
          <w:sz w:val="20"/>
          <w:szCs w:val="20"/>
        </w:rPr>
      </w:pPr>
      <w:r w:rsidRPr="00A369E4">
        <w:rPr>
          <w:rFonts w:ascii="Times New Roman" w:hAnsi="Times New Roman" w:cs="Times New Roman"/>
          <w:i w:val="0"/>
          <w:sz w:val="20"/>
          <w:szCs w:val="20"/>
        </w:rPr>
        <w:t>New Business</w:t>
      </w:r>
    </w:p>
    <w:p w:rsidR="008552A3" w:rsidRPr="00A369E4" w:rsidRDefault="00A369E4" w:rsidP="00A369E4">
      <w:pPr>
        <w:autoSpaceDE w:val="0"/>
        <w:autoSpaceDN w:val="0"/>
        <w:adjustRightInd w:val="0"/>
        <w:ind w:left="360"/>
      </w:pPr>
      <w:r w:rsidRPr="00A369E4">
        <w:t>The c</w:t>
      </w:r>
      <w:r w:rsidR="008552A3" w:rsidRPr="00A369E4">
        <w:t xml:space="preserve">hair noted the </w:t>
      </w:r>
      <w:r w:rsidRPr="00A369E4">
        <w:t xml:space="preserve">upcoming </w:t>
      </w:r>
      <w:r w:rsidR="008552A3" w:rsidRPr="00A369E4">
        <w:t>dates for the NESCOM submittal</w:t>
      </w:r>
    </w:p>
    <w:p w:rsidR="00A369E4" w:rsidRPr="00A369E4" w:rsidRDefault="00A369E4" w:rsidP="00A369E4">
      <w:pPr>
        <w:autoSpaceDE w:val="0"/>
        <w:autoSpaceDN w:val="0"/>
        <w:adjustRightInd w:val="0"/>
        <w:ind w:left="360"/>
      </w:pPr>
    </w:p>
    <w:p w:rsidR="008552A3" w:rsidRPr="00A369E4" w:rsidRDefault="008552A3" w:rsidP="00A369E4">
      <w:pPr>
        <w:autoSpaceDE w:val="0"/>
        <w:autoSpaceDN w:val="0"/>
        <w:adjustRightInd w:val="0"/>
        <w:spacing w:after="120"/>
        <w:ind w:left="360"/>
      </w:pPr>
      <w:r w:rsidRPr="00A369E4">
        <w:t xml:space="preserve">The chair covered the status of the Dry Type standards and noted the documents had revision due dates or PARs expiring in 2011.  </w:t>
      </w:r>
    </w:p>
    <w:p w:rsidR="008552A3" w:rsidRPr="00A369E4" w:rsidRDefault="008552A3" w:rsidP="00A369E4">
      <w:pPr>
        <w:autoSpaceDE w:val="0"/>
        <w:autoSpaceDN w:val="0"/>
        <w:adjustRightInd w:val="0"/>
        <w:ind w:left="360"/>
      </w:pPr>
      <w:r w:rsidRPr="00A369E4">
        <w:t xml:space="preserve">Paulette Powell </w:t>
      </w:r>
      <w:r w:rsidR="00A369E4" w:rsidRPr="00A369E4">
        <w:t xml:space="preserve">has </w:t>
      </w:r>
      <w:r w:rsidRPr="00A369E4">
        <w:t>volunteered to lead the development of the following standards</w:t>
      </w:r>
      <w:r w:rsidR="00A369E4" w:rsidRPr="00A369E4">
        <w:t xml:space="preserve">.  She has </w:t>
      </w:r>
      <w:r w:rsidRPr="00A369E4">
        <w:t>submitted a PAR for each document.</w:t>
      </w:r>
    </w:p>
    <w:p w:rsidR="008552A3" w:rsidRPr="00A369E4" w:rsidRDefault="008552A3" w:rsidP="00A369E4">
      <w:pPr>
        <w:autoSpaceDE w:val="0"/>
        <w:autoSpaceDN w:val="0"/>
        <w:adjustRightInd w:val="0"/>
        <w:ind w:left="720"/>
      </w:pPr>
      <w:r w:rsidRPr="00A369E4">
        <w:t>C57.12.59 – Through Fault Current Duration</w:t>
      </w:r>
    </w:p>
    <w:p w:rsidR="008552A3" w:rsidRPr="00A369E4" w:rsidRDefault="008552A3" w:rsidP="00A369E4">
      <w:pPr>
        <w:autoSpaceDE w:val="0"/>
        <w:autoSpaceDN w:val="0"/>
        <w:adjustRightInd w:val="0"/>
        <w:ind w:left="720"/>
      </w:pPr>
      <w:r w:rsidRPr="00A369E4">
        <w:t>C57.134 – Dry Type Hot Spot</w:t>
      </w:r>
    </w:p>
    <w:p w:rsidR="008552A3" w:rsidRPr="00A369E4" w:rsidRDefault="008552A3" w:rsidP="00A369E4">
      <w:pPr>
        <w:autoSpaceDE w:val="0"/>
        <w:autoSpaceDN w:val="0"/>
        <w:adjustRightInd w:val="0"/>
        <w:ind w:left="360"/>
      </w:pPr>
      <w:r w:rsidRPr="00A369E4">
        <w:br/>
        <w:t xml:space="preserve">Dave </w:t>
      </w:r>
      <w:proofErr w:type="spellStart"/>
      <w:r w:rsidRPr="00A369E4">
        <w:t>Stankes</w:t>
      </w:r>
      <w:proofErr w:type="spellEnd"/>
      <w:r w:rsidRPr="00A369E4">
        <w:t xml:space="preserve"> has volunteered to chair a task for </w:t>
      </w:r>
      <w:proofErr w:type="spellStart"/>
      <w:r w:rsidRPr="00A369E4">
        <w:t>for</w:t>
      </w:r>
      <w:proofErr w:type="spellEnd"/>
      <w:r w:rsidRPr="00A369E4">
        <w:t xml:space="preserve"> the revision of C57.94.  The task force will have the following members</w:t>
      </w:r>
    </w:p>
    <w:p w:rsidR="008552A3" w:rsidRPr="00A369E4" w:rsidRDefault="008552A3" w:rsidP="00A369E4">
      <w:pPr>
        <w:autoSpaceDE w:val="0"/>
        <w:autoSpaceDN w:val="0"/>
        <w:adjustRightInd w:val="0"/>
        <w:ind w:left="720"/>
      </w:pPr>
      <w:r w:rsidRPr="00A369E4">
        <w:t>Derek Foster</w:t>
      </w:r>
    </w:p>
    <w:p w:rsidR="008552A3" w:rsidRPr="00A369E4" w:rsidRDefault="008552A3" w:rsidP="00A369E4">
      <w:pPr>
        <w:autoSpaceDE w:val="0"/>
        <w:autoSpaceDN w:val="0"/>
        <w:adjustRightInd w:val="0"/>
        <w:ind w:left="720"/>
      </w:pPr>
      <w:r w:rsidRPr="00A369E4">
        <w:t xml:space="preserve">Tim </w:t>
      </w:r>
      <w:proofErr w:type="spellStart"/>
      <w:r w:rsidRPr="00A369E4">
        <w:t>Holdway</w:t>
      </w:r>
      <w:proofErr w:type="spellEnd"/>
    </w:p>
    <w:p w:rsidR="008552A3" w:rsidRPr="00A369E4" w:rsidRDefault="008552A3" w:rsidP="00A369E4">
      <w:pPr>
        <w:autoSpaceDE w:val="0"/>
        <w:autoSpaceDN w:val="0"/>
        <w:adjustRightInd w:val="0"/>
        <w:ind w:left="720"/>
      </w:pPr>
      <w:r w:rsidRPr="00A369E4">
        <w:t>Roger Wicks</w:t>
      </w:r>
    </w:p>
    <w:p w:rsidR="008552A3" w:rsidRPr="00A369E4" w:rsidRDefault="008552A3" w:rsidP="00A369E4">
      <w:pPr>
        <w:autoSpaceDE w:val="0"/>
        <w:autoSpaceDN w:val="0"/>
        <w:adjustRightInd w:val="0"/>
        <w:ind w:left="720"/>
      </w:pPr>
      <w:r w:rsidRPr="00A369E4">
        <w:t xml:space="preserve">Rick </w:t>
      </w:r>
      <w:proofErr w:type="spellStart"/>
      <w:r w:rsidRPr="00A369E4">
        <w:t>Marek</w:t>
      </w:r>
      <w:proofErr w:type="spellEnd"/>
    </w:p>
    <w:p w:rsidR="008552A3" w:rsidRPr="00A369E4" w:rsidRDefault="008552A3" w:rsidP="00A369E4">
      <w:pPr>
        <w:autoSpaceDE w:val="0"/>
        <w:autoSpaceDN w:val="0"/>
        <w:adjustRightInd w:val="0"/>
        <w:ind w:left="720"/>
        <w:rPr>
          <w:color w:val="000000"/>
        </w:rPr>
      </w:pPr>
      <w:proofErr w:type="spellStart"/>
      <w:r w:rsidRPr="00A369E4">
        <w:rPr>
          <w:color w:val="000000"/>
        </w:rPr>
        <w:t>Sanjib</w:t>
      </w:r>
      <w:proofErr w:type="spellEnd"/>
      <w:r w:rsidRPr="00A369E4">
        <w:rPr>
          <w:color w:val="000000"/>
        </w:rPr>
        <w:t xml:space="preserve"> K. </w:t>
      </w:r>
      <w:proofErr w:type="spellStart"/>
      <w:r w:rsidRPr="00A369E4">
        <w:rPr>
          <w:color w:val="000000"/>
        </w:rPr>
        <w:t>Som</w:t>
      </w:r>
      <w:proofErr w:type="spellEnd"/>
    </w:p>
    <w:p w:rsidR="00A369E4" w:rsidRPr="00A369E4" w:rsidRDefault="00A369E4" w:rsidP="00A369E4">
      <w:pPr>
        <w:autoSpaceDE w:val="0"/>
        <w:autoSpaceDN w:val="0"/>
        <w:adjustRightInd w:val="0"/>
        <w:ind w:left="720"/>
        <w:rPr>
          <w:color w:val="000000"/>
        </w:rPr>
      </w:pPr>
    </w:p>
    <w:p w:rsidR="008552A3" w:rsidRPr="00A369E4" w:rsidRDefault="00A369E4" w:rsidP="00A369E4">
      <w:pPr>
        <w:autoSpaceDE w:val="0"/>
        <w:autoSpaceDN w:val="0"/>
        <w:adjustRightInd w:val="0"/>
      </w:pPr>
      <w:r w:rsidRPr="00A369E4">
        <w:t xml:space="preserve">Being no further business, a motion </w:t>
      </w:r>
      <w:r w:rsidR="008552A3" w:rsidRPr="00A369E4">
        <w:t xml:space="preserve">to </w:t>
      </w:r>
      <w:r w:rsidRPr="00A369E4">
        <w:t>a</w:t>
      </w:r>
      <w:r w:rsidR="008552A3" w:rsidRPr="00A369E4">
        <w:t>djourn</w:t>
      </w:r>
      <w:r w:rsidRPr="00A369E4">
        <w:t xml:space="preserve"> as made by T</w:t>
      </w:r>
      <w:r w:rsidR="008552A3" w:rsidRPr="00A369E4">
        <w:t xml:space="preserve">im </w:t>
      </w:r>
      <w:proofErr w:type="spellStart"/>
      <w:r w:rsidR="008552A3" w:rsidRPr="00A369E4">
        <w:t>Holdway</w:t>
      </w:r>
      <w:proofErr w:type="spellEnd"/>
      <w:r w:rsidR="008552A3" w:rsidRPr="00A369E4">
        <w:t xml:space="preserve"> </w:t>
      </w:r>
      <w:r w:rsidRPr="00A369E4">
        <w:t>and s</w:t>
      </w:r>
      <w:r w:rsidR="008552A3" w:rsidRPr="00A369E4">
        <w:t>econd</w:t>
      </w:r>
      <w:r w:rsidRPr="00A369E4">
        <w:t>ed by</w:t>
      </w:r>
      <w:r w:rsidR="008552A3" w:rsidRPr="00A369E4">
        <w:t xml:space="preserve"> Roger Wicks</w:t>
      </w:r>
    </w:p>
    <w:p w:rsidR="00A369E4" w:rsidRPr="00A369E4" w:rsidRDefault="00A369E4" w:rsidP="00A369E4">
      <w:pPr>
        <w:autoSpaceDE w:val="0"/>
        <w:autoSpaceDN w:val="0"/>
        <w:adjustRightInd w:val="0"/>
      </w:pPr>
    </w:p>
    <w:p w:rsidR="008552A3" w:rsidRPr="00A369E4" w:rsidRDefault="008552A3" w:rsidP="00A369E4">
      <w:pPr>
        <w:autoSpaceDE w:val="0"/>
        <w:autoSpaceDN w:val="0"/>
        <w:adjustRightInd w:val="0"/>
      </w:pPr>
      <w:r w:rsidRPr="00A369E4">
        <w:t>Meeting adjourned at 2:18</w:t>
      </w:r>
    </w:p>
    <w:sectPr w:rsidR="008552A3" w:rsidRPr="00A369E4" w:rsidSect="00E328F8">
      <w:headerReference w:type="default" r:id="rId7"/>
      <w:footerReference w:type="default" r:id="rId8"/>
      <w:pgSz w:w="12240" w:h="15840"/>
      <w:pgMar w:top="810" w:right="1440" w:bottom="990" w:left="1440" w:header="720" w:footer="2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2AE" w:rsidRDefault="00F122AE">
      <w:r>
        <w:separator/>
      </w:r>
    </w:p>
  </w:endnote>
  <w:endnote w:type="continuationSeparator" w:id="0">
    <w:p w:rsidR="00F122AE" w:rsidRDefault="00F12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2F" w:rsidRDefault="00890B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2AE" w:rsidRDefault="00F122AE">
      <w:r>
        <w:separator/>
      </w:r>
    </w:p>
  </w:footnote>
  <w:footnote w:type="continuationSeparator" w:id="0">
    <w:p w:rsidR="00F122AE" w:rsidRDefault="00F12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2F" w:rsidRDefault="00890B2F" w:rsidP="00F06CA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AE0"/>
    <w:multiLevelType w:val="singleLevel"/>
    <w:tmpl w:val="91CA6B82"/>
    <w:lvl w:ilvl="0">
      <w:start w:val="1"/>
      <w:numFmt w:val="decimal"/>
      <w:lvlText w:val="%1."/>
      <w:lvlJc w:val="left"/>
      <w:pPr>
        <w:tabs>
          <w:tab w:val="num" w:pos="720"/>
        </w:tabs>
        <w:ind w:left="720" w:hanging="720"/>
      </w:pPr>
      <w:rPr>
        <w:rFonts w:hint="default"/>
      </w:rPr>
    </w:lvl>
  </w:abstractNum>
  <w:abstractNum w:abstractNumId="1">
    <w:nsid w:val="088631D4"/>
    <w:multiLevelType w:val="hybridMultilevel"/>
    <w:tmpl w:val="787C8DC0"/>
    <w:lvl w:ilvl="0" w:tplc="91CA6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67368"/>
    <w:multiLevelType w:val="multilevel"/>
    <w:tmpl w:val="7F2E6D94"/>
    <w:lvl w:ilvl="0">
      <w:start w:val="1"/>
      <w:numFmt w:val="decimal"/>
      <w:lvlText w:val="%1."/>
      <w:lvlJc w:val="left"/>
      <w:pPr>
        <w:ind w:left="72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
    <w:nsid w:val="0A922344"/>
    <w:multiLevelType w:val="hybridMultilevel"/>
    <w:tmpl w:val="24BE0D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35050E"/>
    <w:multiLevelType w:val="hybridMultilevel"/>
    <w:tmpl w:val="3CB8B656"/>
    <w:lvl w:ilvl="0" w:tplc="91CA6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33649"/>
    <w:multiLevelType w:val="hybridMultilevel"/>
    <w:tmpl w:val="A912CA58"/>
    <w:lvl w:ilvl="0" w:tplc="91CA6B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374DF"/>
    <w:multiLevelType w:val="hybridMultilevel"/>
    <w:tmpl w:val="C5D04D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1B06CD"/>
    <w:multiLevelType w:val="multilevel"/>
    <w:tmpl w:val="82C2C714"/>
    <w:lvl w:ilvl="0">
      <w:start w:val="7"/>
      <w:numFmt w:val="decimal"/>
      <w:lvlText w:val="%1"/>
      <w:lvlJc w:val="left"/>
      <w:pPr>
        <w:tabs>
          <w:tab w:val="num" w:pos="0"/>
        </w:tabs>
        <w:ind w:left="0" w:firstLine="0"/>
      </w:pPr>
      <w:rPr>
        <w:rFonts w:hint="default"/>
      </w:rPr>
    </w:lvl>
    <w:lvl w:ilvl="1">
      <w:start w:val="7"/>
      <w:numFmt w:val="decimal"/>
      <w:lvlText w:val="8.%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3.%4"/>
      <w:lvlJc w:val="left"/>
      <w:pPr>
        <w:tabs>
          <w:tab w:val="num" w:pos="0"/>
        </w:tabs>
        <w:ind w:left="0" w:firstLine="0"/>
      </w:pPr>
      <w:rPr>
        <w:rFonts w:hint="default"/>
      </w:rPr>
    </w:lvl>
    <w:lvl w:ilvl="4">
      <w:start w:val="1"/>
      <w:numFmt w:val="decimal"/>
      <w:lvlText w:val=".%3.%4.%5"/>
      <w:lvlJc w:val="left"/>
      <w:pPr>
        <w:tabs>
          <w:tab w:val="num" w:pos="0"/>
        </w:tabs>
        <w:ind w:left="0" w:firstLine="0"/>
      </w:pPr>
      <w:rPr>
        <w:rFonts w:hint="default"/>
      </w:rPr>
    </w:lvl>
    <w:lvl w:ilvl="5">
      <w:start w:val="1"/>
      <w:numFmt w:val="decimal"/>
      <w:lvlText w:val=".%3.%4.%5.%6"/>
      <w:lvlJc w:val="left"/>
      <w:pPr>
        <w:tabs>
          <w:tab w:val="num" w:pos="0"/>
        </w:tabs>
        <w:ind w:left="0" w:firstLine="0"/>
      </w:pPr>
      <w:rPr>
        <w:rFonts w:hint="default"/>
      </w:rPr>
    </w:lvl>
    <w:lvl w:ilvl="6">
      <w:start w:val="1"/>
      <w:numFmt w:val="decimal"/>
      <w:lvlText w:val=".%3.%4.%5.%6.%7"/>
      <w:lvlJc w:val="left"/>
      <w:pPr>
        <w:tabs>
          <w:tab w:val="num" w:pos="0"/>
        </w:tabs>
        <w:ind w:left="0" w:firstLine="0"/>
      </w:pPr>
      <w:rPr>
        <w:rFonts w:hint="default"/>
      </w:rPr>
    </w:lvl>
    <w:lvl w:ilvl="7">
      <w:start w:val="1"/>
      <w:numFmt w:val="decimal"/>
      <w:lvlText w:val=".%3.%4.%5.%6.%7.%8"/>
      <w:lvlJc w:val="left"/>
      <w:pPr>
        <w:tabs>
          <w:tab w:val="num" w:pos="0"/>
        </w:tabs>
        <w:ind w:left="0" w:firstLine="0"/>
      </w:pPr>
      <w:rPr>
        <w:rFonts w:hint="default"/>
      </w:rPr>
    </w:lvl>
    <w:lvl w:ilvl="8">
      <w:start w:val="1"/>
      <w:numFmt w:val="decimal"/>
      <w:lvlText w:val=".%3.%4.%5.%6.%7.%8.%9"/>
      <w:lvlJc w:val="left"/>
      <w:pPr>
        <w:tabs>
          <w:tab w:val="num" w:pos="0"/>
        </w:tabs>
        <w:ind w:left="2520" w:hanging="1440"/>
      </w:pPr>
      <w:rPr>
        <w:rFonts w:hint="default"/>
      </w:rPr>
    </w:lvl>
  </w:abstractNum>
  <w:abstractNum w:abstractNumId="8">
    <w:nsid w:val="3DF77121"/>
    <w:multiLevelType w:val="hybridMultilevel"/>
    <w:tmpl w:val="9B882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1BC0457"/>
    <w:multiLevelType w:val="hybridMultilevel"/>
    <w:tmpl w:val="38046F50"/>
    <w:lvl w:ilvl="0" w:tplc="DE227A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6913E0"/>
    <w:multiLevelType w:val="hybridMultilevel"/>
    <w:tmpl w:val="4588FDAA"/>
    <w:lvl w:ilvl="0" w:tplc="B65A3FB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314230"/>
    <w:multiLevelType w:val="hybridMultilevel"/>
    <w:tmpl w:val="F4725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E76685"/>
    <w:multiLevelType w:val="hybridMultilevel"/>
    <w:tmpl w:val="A2BEE444"/>
    <w:lvl w:ilvl="0" w:tplc="91CA6B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8045A3"/>
    <w:multiLevelType w:val="singleLevel"/>
    <w:tmpl w:val="802C8C00"/>
    <w:lvl w:ilvl="0">
      <w:start w:val="1"/>
      <w:numFmt w:val="lowerRoman"/>
      <w:lvlText w:val="(%1)"/>
      <w:lvlJc w:val="left"/>
      <w:pPr>
        <w:tabs>
          <w:tab w:val="num" w:pos="1440"/>
        </w:tabs>
        <w:ind w:left="1440" w:hanging="720"/>
      </w:pPr>
      <w:rPr>
        <w:rFonts w:hint="default"/>
      </w:rPr>
    </w:lvl>
  </w:abstractNum>
  <w:abstractNum w:abstractNumId="14">
    <w:nsid w:val="59E32BEF"/>
    <w:multiLevelType w:val="hybridMultilevel"/>
    <w:tmpl w:val="6324E2D4"/>
    <w:lvl w:ilvl="0" w:tplc="DE227A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CBD79C7"/>
    <w:multiLevelType w:val="hybridMultilevel"/>
    <w:tmpl w:val="24BE0D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3848EA"/>
    <w:multiLevelType w:val="multilevel"/>
    <w:tmpl w:val="DC0E7E20"/>
    <w:lvl w:ilvl="0">
      <w:start w:val="10"/>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5135A57"/>
    <w:multiLevelType w:val="hybridMultilevel"/>
    <w:tmpl w:val="27DA2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8726F2"/>
    <w:multiLevelType w:val="hybridMultilevel"/>
    <w:tmpl w:val="CB309242"/>
    <w:lvl w:ilvl="0" w:tplc="B53AED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3828AC"/>
    <w:multiLevelType w:val="hybridMultilevel"/>
    <w:tmpl w:val="F8EE4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17657E"/>
    <w:multiLevelType w:val="hybridMultilevel"/>
    <w:tmpl w:val="D5E675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D55078C"/>
    <w:multiLevelType w:val="multilevel"/>
    <w:tmpl w:val="4E1CFBF0"/>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F31450F"/>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7"/>
  </w:num>
  <w:num w:numId="2">
    <w:abstractNumId w:val="0"/>
  </w:num>
  <w:num w:numId="3">
    <w:abstractNumId w:val="13"/>
  </w:num>
  <w:num w:numId="4">
    <w:abstractNumId w:val="21"/>
  </w:num>
  <w:num w:numId="5">
    <w:abstractNumId w:val="5"/>
  </w:num>
  <w:num w:numId="6">
    <w:abstractNumId w:val="11"/>
  </w:num>
  <w:num w:numId="7">
    <w:abstractNumId w:val="1"/>
  </w:num>
  <w:num w:numId="8">
    <w:abstractNumId w:val="2"/>
  </w:num>
  <w:num w:numId="9">
    <w:abstractNumId w:val="12"/>
  </w:num>
  <w:num w:numId="10">
    <w:abstractNumId w:val="4"/>
  </w:num>
  <w:num w:numId="11">
    <w:abstractNumId w:val="8"/>
  </w:num>
  <w:num w:numId="12">
    <w:abstractNumId w:val="9"/>
  </w:num>
  <w:num w:numId="13">
    <w:abstractNumId w:val="14"/>
  </w:num>
  <w:num w:numId="14">
    <w:abstractNumId w:val="17"/>
  </w:num>
  <w:num w:numId="15">
    <w:abstractNumId w:val="6"/>
  </w:num>
  <w:num w:numId="16">
    <w:abstractNumId w:val="18"/>
  </w:num>
  <w:num w:numId="17">
    <w:abstractNumId w:val="3"/>
  </w:num>
  <w:num w:numId="18">
    <w:abstractNumId w:val="19"/>
  </w:num>
  <w:num w:numId="19">
    <w:abstractNumId w:val="22"/>
  </w:num>
  <w:num w:numId="20">
    <w:abstractNumId w:val="20"/>
  </w:num>
  <w:num w:numId="21">
    <w:abstractNumId w:val="16"/>
  </w:num>
  <w:num w:numId="22">
    <w:abstractNumId w:val="15"/>
  </w:num>
  <w:num w:numId="2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7D098D"/>
    <w:rsid w:val="00006E5D"/>
    <w:rsid w:val="00023EE5"/>
    <w:rsid w:val="0005157C"/>
    <w:rsid w:val="00070C31"/>
    <w:rsid w:val="00087281"/>
    <w:rsid w:val="00091F5C"/>
    <w:rsid w:val="000A7753"/>
    <w:rsid w:val="000B4D69"/>
    <w:rsid w:val="000C0D80"/>
    <w:rsid w:val="000F138E"/>
    <w:rsid w:val="000F1693"/>
    <w:rsid w:val="000F234C"/>
    <w:rsid w:val="00136EBA"/>
    <w:rsid w:val="00156C6A"/>
    <w:rsid w:val="00167276"/>
    <w:rsid w:val="001C3A5F"/>
    <w:rsid w:val="001C7082"/>
    <w:rsid w:val="001D79B3"/>
    <w:rsid w:val="001F021C"/>
    <w:rsid w:val="001F1601"/>
    <w:rsid w:val="001F47B5"/>
    <w:rsid w:val="001F6F0B"/>
    <w:rsid w:val="001F737A"/>
    <w:rsid w:val="00206022"/>
    <w:rsid w:val="00210F3E"/>
    <w:rsid w:val="00247572"/>
    <w:rsid w:val="00256BE0"/>
    <w:rsid w:val="0025766D"/>
    <w:rsid w:val="002628BF"/>
    <w:rsid w:val="0026528E"/>
    <w:rsid w:val="0028011F"/>
    <w:rsid w:val="002811B1"/>
    <w:rsid w:val="00287772"/>
    <w:rsid w:val="002A11A4"/>
    <w:rsid w:val="002A6DA8"/>
    <w:rsid w:val="002B2071"/>
    <w:rsid w:val="002B306C"/>
    <w:rsid w:val="002C0D1B"/>
    <w:rsid w:val="002C49D2"/>
    <w:rsid w:val="002C6A68"/>
    <w:rsid w:val="002D384F"/>
    <w:rsid w:val="002F28B1"/>
    <w:rsid w:val="00315B7E"/>
    <w:rsid w:val="003836D0"/>
    <w:rsid w:val="0038756D"/>
    <w:rsid w:val="003A064B"/>
    <w:rsid w:val="003B3F86"/>
    <w:rsid w:val="003C14B3"/>
    <w:rsid w:val="003C2954"/>
    <w:rsid w:val="003E1841"/>
    <w:rsid w:val="003E566B"/>
    <w:rsid w:val="003E7BA6"/>
    <w:rsid w:val="003F3064"/>
    <w:rsid w:val="003F743A"/>
    <w:rsid w:val="004018F3"/>
    <w:rsid w:val="00413193"/>
    <w:rsid w:val="0042730B"/>
    <w:rsid w:val="00445A39"/>
    <w:rsid w:val="00445E93"/>
    <w:rsid w:val="00447E6C"/>
    <w:rsid w:val="00463201"/>
    <w:rsid w:val="00463253"/>
    <w:rsid w:val="0046437E"/>
    <w:rsid w:val="00484D9C"/>
    <w:rsid w:val="004A29E2"/>
    <w:rsid w:val="004F2822"/>
    <w:rsid w:val="00536FC0"/>
    <w:rsid w:val="00542C93"/>
    <w:rsid w:val="005458B1"/>
    <w:rsid w:val="00563543"/>
    <w:rsid w:val="00576124"/>
    <w:rsid w:val="005A3A8D"/>
    <w:rsid w:val="005C25D3"/>
    <w:rsid w:val="005F2465"/>
    <w:rsid w:val="0062509F"/>
    <w:rsid w:val="00642AD5"/>
    <w:rsid w:val="00643486"/>
    <w:rsid w:val="00662159"/>
    <w:rsid w:val="006646AF"/>
    <w:rsid w:val="00684EEE"/>
    <w:rsid w:val="00687698"/>
    <w:rsid w:val="0069274D"/>
    <w:rsid w:val="00693D8C"/>
    <w:rsid w:val="006958CC"/>
    <w:rsid w:val="006A53DB"/>
    <w:rsid w:val="006B34A4"/>
    <w:rsid w:val="006B70DC"/>
    <w:rsid w:val="006B773C"/>
    <w:rsid w:val="006B7FB5"/>
    <w:rsid w:val="006D260C"/>
    <w:rsid w:val="006F08A8"/>
    <w:rsid w:val="006F11B6"/>
    <w:rsid w:val="006F471A"/>
    <w:rsid w:val="00703A79"/>
    <w:rsid w:val="0071705C"/>
    <w:rsid w:val="00722E9E"/>
    <w:rsid w:val="00723DFE"/>
    <w:rsid w:val="007262D6"/>
    <w:rsid w:val="0073150E"/>
    <w:rsid w:val="00731A8A"/>
    <w:rsid w:val="007366BC"/>
    <w:rsid w:val="007454DF"/>
    <w:rsid w:val="007476BE"/>
    <w:rsid w:val="00750811"/>
    <w:rsid w:val="00774109"/>
    <w:rsid w:val="00793155"/>
    <w:rsid w:val="007A2AB6"/>
    <w:rsid w:val="007A4C9E"/>
    <w:rsid w:val="007B27EE"/>
    <w:rsid w:val="007B5251"/>
    <w:rsid w:val="007C2854"/>
    <w:rsid w:val="007D098D"/>
    <w:rsid w:val="007D2F7D"/>
    <w:rsid w:val="007E6BC8"/>
    <w:rsid w:val="007E7D7A"/>
    <w:rsid w:val="007F1147"/>
    <w:rsid w:val="007F5729"/>
    <w:rsid w:val="008235A1"/>
    <w:rsid w:val="008552A3"/>
    <w:rsid w:val="00874F8F"/>
    <w:rsid w:val="00890B2F"/>
    <w:rsid w:val="008A122B"/>
    <w:rsid w:val="008F5245"/>
    <w:rsid w:val="009061CD"/>
    <w:rsid w:val="0091097F"/>
    <w:rsid w:val="009179BB"/>
    <w:rsid w:val="00932207"/>
    <w:rsid w:val="00941533"/>
    <w:rsid w:val="00946A4C"/>
    <w:rsid w:val="00954EE9"/>
    <w:rsid w:val="009617E8"/>
    <w:rsid w:val="009634B8"/>
    <w:rsid w:val="0099136F"/>
    <w:rsid w:val="009C224D"/>
    <w:rsid w:val="009E7D13"/>
    <w:rsid w:val="00A369E4"/>
    <w:rsid w:val="00A438E8"/>
    <w:rsid w:val="00A51C63"/>
    <w:rsid w:val="00A57E4A"/>
    <w:rsid w:val="00AA5069"/>
    <w:rsid w:val="00AB188B"/>
    <w:rsid w:val="00AB2F9A"/>
    <w:rsid w:val="00AB4967"/>
    <w:rsid w:val="00AD0660"/>
    <w:rsid w:val="00AD26C5"/>
    <w:rsid w:val="00AD7897"/>
    <w:rsid w:val="00B26436"/>
    <w:rsid w:val="00B373FE"/>
    <w:rsid w:val="00B44584"/>
    <w:rsid w:val="00B51DDF"/>
    <w:rsid w:val="00B607EA"/>
    <w:rsid w:val="00B647C1"/>
    <w:rsid w:val="00B75427"/>
    <w:rsid w:val="00B8021B"/>
    <w:rsid w:val="00B8542B"/>
    <w:rsid w:val="00BA7686"/>
    <w:rsid w:val="00BC0BAB"/>
    <w:rsid w:val="00BC6E80"/>
    <w:rsid w:val="00BF776A"/>
    <w:rsid w:val="00C02011"/>
    <w:rsid w:val="00C21C7A"/>
    <w:rsid w:val="00C221AD"/>
    <w:rsid w:val="00C22DA5"/>
    <w:rsid w:val="00C350BE"/>
    <w:rsid w:val="00C36A87"/>
    <w:rsid w:val="00C50B4A"/>
    <w:rsid w:val="00C5603C"/>
    <w:rsid w:val="00C64D3F"/>
    <w:rsid w:val="00C87699"/>
    <w:rsid w:val="00C90D7E"/>
    <w:rsid w:val="00C95B5F"/>
    <w:rsid w:val="00CA21D6"/>
    <w:rsid w:val="00CB7483"/>
    <w:rsid w:val="00CB7DDC"/>
    <w:rsid w:val="00D008B4"/>
    <w:rsid w:val="00D04379"/>
    <w:rsid w:val="00D10DD5"/>
    <w:rsid w:val="00D33076"/>
    <w:rsid w:val="00D457A2"/>
    <w:rsid w:val="00D63135"/>
    <w:rsid w:val="00D81B74"/>
    <w:rsid w:val="00DB1B55"/>
    <w:rsid w:val="00DC050C"/>
    <w:rsid w:val="00DE2778"/>
    <w:rsid w:val="00DE4296"/>
    <w:rsid w:val="00E0426B"/>
    <w:rsid w:val="00E279EC"/>
    <w:rsid w:val="00E328F8"/>
    <w:rsid w:val="00E332C5"/>
    <w:rsid w:val="00E52A64"/>
    <w:rsid w:val="00EA372A"/>
    <w:rsid w:val="00EA4528"/>
    <w:rsid w:val="00EA52CD"/>
    <w:rsid w:val="00EB5CE8"/>
    <w:rsid w:val="00EE335A"/>
    <w:rsid w:val="00EE515E"/>
    <w:rsid w:val="00EF7611"/>
    <w:rsid w:val="00F06CA4"/>
    <w:rsid w:val="00F122AE"/>
    <w:rsid w:val="00F129FB"/>
    <w:rsid w:val="00F24EE2"/>
    <w:rsid w:val="00F5487C"/>
    <w:rsid w:val="00F77959"/>
    <w:rsid w:val="00FA388B"/>
    <w:rsid w:val="00FA562A"/>
    <w:rsid w:val="00FF6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B6"/>
  </w:style>
  <w:style w:type="paragraph" w:styleId="Heading1">
    <w:name w:val="heading 1"/>
    <w:basedOn w:val="Normal"/>
    <w:next w:val="Normal"/>
    <w:qFormat/>
    <w:rsid w:val="006F11B6"/>
    <w:pPr>
      <w:keepNext/>
      <w:spacing w:before="240"/>
      <w:jc w:val="center"/>
      <w:outlineLvl w:val="0"/>
    </w:pPr>
    <w:rPr>
      <w:b/>
      <w:sz w:val="24"/>
    </w:rPr>
  </w:style>
  <w:style w:type="paragraph" w:styleId="Heading2">
    <w:name w:val="heading 2"/>
    <w:basedOn w:val="Normal"/>
    <w:next w:val="Normal"/>
    <w:qFormat/>
    <w:rsid w:val="0099136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F169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rsid w:val="006F11B6"/>
    <w:pPr>
      <w:jc w:val="center"/>
    </w:pPr>
    <w:rPr>
      <w:b/>
      <w:sz w:val="24"/>
    </w:rPr>
  </w:style>
  <w:style w:type="paragraph" w:styleId="Header">
    <w:name w:val="header"/>
    <w:basedOn w:val="Normal"/>
    <w:rsid w:val="006F11B6"/>
    <w:pPr>
      <w:tabs>
        <w:tab w:val="center" w:pos="4320"/>
        <w:tab w:val="right" w:pos="8640"/>
      </w:tabs>
    </w:pPr>
    <w:rPr>
      <w:rFonts w:ascii="Arial" w:hAnsi="Arial"/>
      <w:sz w:val="24"/>
    </w:rPr>
  </w:style>
  <w:style w:type="paragraph" w:styleId="Subtitle">
    <w:name w:val="Subtitle"/>
    <w:basedOn w:val="Normal"/>
    <w:qFormat/>
    <w:rsid w:val="006F11B6"/>
    <w:pPr>
      <w:spacing w:before="240"/>
      <w:jc w:val="center"/>
    </w:pPr>
    <w:rPr>
      <w:b/>
      <w:sz w:val="24"/>
    </w:rPr>
  </w:style>
  <w:style w:type="paragraph" w:styleId="BodyTextIndent">
    <w:name w:val="Body Text Indent"/>
    <w:basedOn w:val="Normal"/>
    <w:rsid w:val="000F234C"/>
    <w:pPr>
      <w:overflowPunct w:val="0"/>
      <w:autoSpaceDE w:val="0"/>
      <w:autoSpaceDN w:val="0"/>
      <w:adjustRightInd w:val="0"/>
      <w:spacing w:before="100" w:after="100"/>
      <w:ind w:left="720"/>
      <w:jc w:val="both"/>
      <w:textAlignment w:val="baseline"/>
    </w:pPr>
    <w:rPr>
      <w:rFonts w:ascii="Arial" w:hAnsi="Arial"/>
      <w:bCs/>
      <w:sz w:val="24"/>
      <w:szCs w:val="24"/>
    </w:rPr>
  </w:style>
  <w:style w:type="paragraph" w:styleId="Footer">
    <w:name w:val="footer"/>
    <w:basedOn w:val="Normal"/>
    <w:rsid w:val="0099136F"/>
    <w:pPr>
      <w:tabs>
        <w:tab w:val="center" w:pos="4320"/>
        <w:tab w:val="right" w:pos="8640"/>
      </w:tabs>
    </w:pPr>
  </w:style>
  <w:style w:type="paragraph" w:customStyle="1" w:styleId="Default">
    <w:name w:val="Default"/>
    <w:rsid w:val="005F2465"/>
    <w:pPr>
      <w:autoSpaceDE w:val="0"/>
      <w:autoSpaceDN w:val="0"/>
      <w:adjustRightInd w:val="0"/>
    </w:pPr>
    <w:rPr>
      <w:rFonts w:ascii="Arial" w:eastAsia="SimSun" w:hAnsi="Arial" w:cs="Arial"/>
      <w:color w:val="000000"/>
      <w:sz w:val="24"/>
      <w:szCs w:val="24"/>
      <w:lang w:eastAsia="zh-CN"/>
    </w:rPr>
  </w:style>
  <w:style w:type="paragraph" w:styleId="BodyText">
    <w:name w:val="Body Text"/>
    <w:basedOn w:val="Normal"/>
    <w:rsid w:val="00C87699"/>
    <w:pPr>
      <w:spacing w:after="120"/>
    </w:pPr>
  </w:style>
  <w:style w:type="paragraph" w:styleId="NormalWeb">
    <w:name w:val="Normal (Web)"/>
    <w:basedOn w:val="Normal"/>
    <w:rsid w:val="00136EBA"/>
    <w:pPr>
      <w:spacing w:before="100" w:beforeAutospacing="1" w:after="100" w:afterAutospacing="1"/>
    </w:pPr>
    <w:rPr>
      <w:sz w:val="24"/>
      <w:szCs w:val="24"/>
    </w:rPr>
  </w:style>
  <w:style w:type="paragraph" w:styleId="ListParagraph">
    <w:name w:val="List Paragraph"/>
    <w:basedOn w:val="Normal"/>
    <w:uiPriority w:val="34"/>
    <w:qFormat/>
    <w:rsid w:val="00AD0660"/>
    <w:pPr>
      <w:ind w:left="720"/>
    </w:pPr>
  </w:style>
  <w:style w:type="character" w:styleId="Hyperlink">
    <w:name w:val="Hyperlink"/>
    <w:basedOn w:val="DefaultParagraphFont"/>
    <w:rsid w:val="00210F3E"/>
    <w:rPr>
      <w:color w:val="0000FF"/>
      <w:u w:val="single"/>
    </w:rPr>
  </w:style>
</w:styles>
</file>

<file path=word/webSettings.xml><?xml version="1.0" encoding="utf-8"?>
<w:webSettings xmlns:r="http://schemas.openxmlformats.org/officeDocument/2006/relationships" xmlns:w="http://schemas.openxmlformats.org/wordprocessingml/2006/main">
  <w:divs>
    <w:div w:id="478112059">
      <w:bodyDiv w:val="1"/>
      <w:marLeft w:val="0"/>
      <w:marRight w:val="0"/>
      <w:marTop w:val="0"/>
      <w:marBottom w:val="0"/>
      <w:divBdr>
        <w:top w:val="none" w:sz="0" w:space="0" w:color="auto"/>
        <w:left w:val="none" w:sz="0" w:space="0" w:color="auto"/>
        <w:bottom w:val="none" w:sz="0" w:space="0" w:color="auto"/>
        <w:right w:val="none" w:sz="0" w:space="0" w:color="auto"/>
      </w:divBdr>
      <w:divsChild>
        <w:div w:id="1352220167">
          <w:marLeft w:val="0"/>
          <w:marRight w:val="0"/>
          <w:marTop w:val="0"/>
          <w:marBottom w:val="0"/>
          <w:divBdr>
            <w:top w:val="none" w:sz="0" w:space="0" w:color="auto"/>
            <w:left w:val="none" w:sz="0" w:space="0" w:color="auto"/>
            <w:bottom w:val="none" w:sz="0" w:space="0" w:color="auto"/>
            <w:right w:val="none" w:sz="0" w:space="0" w:color="auto"/>
          </w:divBdr>
          <w:divsChild>
            <w:div w:id="118232064">
              <w:marLeft w:val="0"/>
              <w:marRight w:val="0"/>
              <w:marTop w:val="0"/>
              <w:marBottom w:val="0"/>
              <w:divBdr>
                <w:top w:val="none" w:sz="0" w:space="0" w:color="auto"/>
                <w:left w:val="none" w:sz="0" w:space="0" w:color="auto"/>
                <w:bottom w:val="none" w:sz="0" w:space="0" w:color="auto"/>
                <w:right w:val="none" w:sz="0" w:space="0" w:color="auto"/>
              </w:divBdr>
            </w:div>
            <w:div w:id="284704133">
              <w:marLeft w:val="0"/>
              <w:marRight w:val="0"/>
              <w:marTop w:val="0"/>
              <w:marBottom w:val="0"/>
              <w:divBdr>
                <w:top w:val="none" w:sz="0" w:space="0" w:color="auto"/>
                <w:left w:val="none" w:sz="0" w:space="0" w:color="auto"/>
                <w:bottom w:val="none" w:sz="0" w:space="0" w:color="auto"/>
                <w:right w:val="none" w:sz="0" w:space="0" w:color="auto"/>
              </w:divBdr>
            </w:div>
            <w:div w:id="353658817">
              <w:marLeft w:val="0"/>
              <w:marRight w:val="0"/>
              <w:marTop w:val="0"/>
              <w:marBottom w:val="0"/>
              <w:divBdr>
                <w:top w:val="none" w:sz="0" w:space="0" w:color="auto"/>
                <w:left w:val="none" w:sz="0" w:space="0" w:color="auto"/>
                <w:bottom w:val="none" w:sz="0" w:space="0" w:color="auto"/>
                <w:right w:val="none" w:sz="0" w:space="0" w:color="auto"/>
              </w:divBdr>
            </w:div>
            <w:div w:id="386883047">
              <w:marLeft w:val="0"/>
              <w:marRight w:val="0"/>
              <w:marTop w:val="0"/>
              <w:marBottom w:val="0"/>
              <w:divBdr>
                <w:top w:val="none" w:sz="0" w:space="0" w:color="auto"/>
                <w:left w:val="none" w:sz="0" w:space="0" w:color="auto"/>
                <w:bottom w:val="none" w:sz="0" w:space="0" w:color="auto"/>
                <w:right w:val="none" w:sz="0" w:space="0" w:color="auto"/>
              </w:divBdr>
            </w:div>
            <w:div w:id="940602481">
              <w:marLeft w:val="0"/>
              <w:marRight w:val="0"/>
              <w:marTop w:val="0"/>
              <w:marBottom w:val="0"/>
              <w:divBdr>
                <w:top w:val="none" w:sz="0" w:space="0" w:color="auto"/>
                <w:left w:val="none" w:sz="0" w:space="0" w:color="auto"/>
                <w:bottom w:val="none" w:sz="0" w:space="0" w:color="auto"/>
                <w:right w:val="none" w:sz="0" w:space="0" w:color="auto"/>
              </w:divBdr>
            </w:div>
            <w:div w:id="972751863">
              <w:marLeft w:val="0"/>
              <w:marRight w:val="0"/>
              <w:marTop w:val="0"/>
              <w:marBottom w:val="0"/>
              <w:divBdr>
                <w:top w:val="none" w:sz="0" w:space="0" w:color="auto"/>
                <w:left w:val="none" w:sz="0" w:space="0" w:color="auto"/>
                <w:bottom w:val="none" w:sz="0" w:space="0" w:color="auto"/>
                <w:right w:val="none" w:sz="0" w:space="0" w:color="auto"/>
              </w:divBdr>
            </w:div>
            <w:div w:id="1067416265">
              <w:marLeft w:val="0"/>
              <w:marRight w:val="0"/>
              <w:marTop w:val="0"/>
              <w:marBottom w:val="0"/>
              <w:divBdr>
                <w:top w:val="none" w:sz="0" w:space="0" w:color="auto"/>
                <w:left w:val="none" w:sz="0" w:space="0" w:color="auto"/>
                <w:bottom w:val="none" w:sz="0" w:space="0" w:color="auto"/>
                <w:right w:val="none" w:sz="0" w:space="0" w:color="auto"/>
              </w:divBdr>
            </w:div>
            <w:div w:id="1253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0299">
      <w:bodyDiv w:val="1"/>
      <w:marLeft w:val="0"/>
      <w:marRight w:val="0"/>
      <w:marTop w:val="0"/>
      <w:marBottom w:val="0"/>
      <w:divBdr>
        <w:top w:val="none" w:sz="0" w:space="0" w:color="auto"/>
        <w:left w:val="none" w:sz="0" w:space="0" w:color="auto"/>
        <w:bottom w:val="none" w:sz="0" w:space="0" w:color="auto"/>
        <w:right w:val="none" w:sz="0" w:space="0" w:color="auto"/>
      </w:divBdr>
      <w:divsChild>
        <w:div w:id="102532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IEEE/PES TRANSFORMERS COMMITTEE</vt:lpstr>
    </vt:vector>
  </TitlesOfParts>
  <Company>ABB Power T&amp;D Company Inc.</Company>
  <LinksUpToDate>false</LinksUpToDate>
  <CharactersWithSpaces>12296</CharactersWithSpaces>
  <SharedDoc>false</SharedDoc>
  <HLinks>
    <vt:vector size="6" baseType="variant">
      <vt:variant>
        <vt:i4>6029404</vt:i4>
      </vt:variant>
      <vt:variant>
        <vt:i4>0</vt:i4>
      </vt:variant>
      <vt:variant>
        <vt:i4>0</vt:i4>
      </vt:variant>
      <vt:variant>
        <vt:i4>5</vt:i4>
      </vt:variant>
      <vt:variant>
        <vt:lpwstr>http://ieeexplore.ieee.org/search/srchabstract.jsp?tp=&amp;arnumber=186045&amp;queryText%3Dc57.94%26openedRefinements%3D*%26searchField%3DSearch+All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IEEE/PES TRANSFORMERS COMMITTEE</dc:title>
  <dc:creator>Charles W Johnson</dc:creator>
  <cp:lastModifiedBy>uschjoh</cp:lastModifiedBy>
  <cp:revision>9</cp:revision>
  <cp:lastPrinted>2001-04-04T14:28:00Z</cp:lastPrinted>
  <dcterms:created xsi:type="dcterms:W3CDTF">2012-01-22T19:48:00Z</dcterms:created>
  <dcterms:modified xsi:type="dcterms:W3CDTF">2012-01-22T21:36:00Z</dcterms:modified>
</cp:coreProperties>
</file>