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1B" w:rsidRPr="005B3EC3" w:rsidRDefault="004E5732" w:rsidP="00445DB2">
      <w:pPr>
        <w:pStyle w:val="Title"/>
        <w:tabs>
          <w:tab w:val="center" w:pos="4680"/>
        </w:tabs>
        <w:contextualSpacing/>
        <w:rPr>
          <w:rFonts w:ascii="Arial" w:hAnsi="Arial" w:cs="Arial"/>
          <w:bCs/>
          <w:sz w:val="28"/>
          <w:szCs w:val="28"/>
        </w:rPr>
      </w:pPr>
      <w:r w:rsidRPr="004B0B5B">
        <w:rPr>
          <w:b w:val="0"/>
          <w:noProof/>
          <w:color w:val="002060"/>
          <w:sz w:val="36"/>
          <w:szCs w:val="36"/>
        </w:rPr>
        <w:drawing>
          <wp:anchor distT="0" distB="0" distL="114300" distR="114300" simplePos="0" relativeHeight="251662336" behindDoc="1" locked="0" layoutInCell="0" allowOverlap="0" wp14:anchorId="4013AF50" wp14:editId="4E395FEF">
            <wp:simplePos x="0" y="0"/>
            <wp:positionH relativeFrom="page">
              <wp:posOffset>861695</wp:posOffset>
            </wp:positionH>
            <wp:positionV relativeFrom="page">
              <wp:posOffset>631825</wp:posOffset>
            </wp:positionV>
            <wp:extent cx="1307465" cy="429260"/>
            <wp:effectExtent l="0" t="0" r="6985" b="8890"/>
            <wp:wrapNone/>
            <wp:docPr id="3" name="Picture 4" descr="C:\Users\Derek\AppData\Local\Microsoft\Windows\Temporary Internet Files\Content.Word\MB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rek\AppData\Local\Microsoft\Windows\Temporary Internet Files\Content.Word\MB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867" w:rsidRPr="00C877CE"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6138278" wp14:editId="15811163">
            <wp:simplePos x="0" y="0"/>
            <wp:positionH relativeFrom="rightMargin">
              <wp:posOffset>-1226185</wp:posOffset>
            </wp:positionH>
            <wp:positionV relativeFrom="paragraph">
              <wp:posOffset>-139065</wp:posOffset>
            </wp:positionV>
            <wp:extent cx="1151890" cy="804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IEEEPESLogo_2-6-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E5A">
        <w:rPr>
          <w:rFonts w:ascii="Arial" w:hAnsi="Arial" w:cs="Arial"/>
          <w:bCs/>
          <w:sz w:val="28"/>
          <w:szCs w:val="28"/>
        </w:rPr>
        <w:t>I</w:t>
      </w:r>
      <w:r w:rsidR="00594E1B" w:rsidRPr="005B3EC3">
        <w:rPr>
          <w:rFonts w:ascii="Arial" w:hAnsi="Arial" w:cs="Arial"/>
          <w:bCs/>
          <w:sz w:val="28"/>
          <w:szCs w:val="28"/>
        </w:rPr>
        <w:t>EEE/PES Transformers Committee</w:t>
      </w:r>
    </w:p>
    <w:p w:rsidR="0052028A" w:rsidRDefault="00001867" w:rsidP="00445DB2">
      <w:pPr>
        <w:tabs>
          <w:tab w:val="center" w:pos="4680"/>
        </w:tabs>
        <w:contextualSpacing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Fall</w:t>
      </w:r>
      <w:r w:rsidR="000A71CF">
        <w:rPr>
          <w:rFonts w:ascii="Arial" w:hAnsi="Arial" w:cs="Arial"/>
          <w:b/>
          <w:bCs/>
          <w:sz w:val="24"/>
        </w:rPr>
        <w:t xml:space="preserve"> 201</w:t>
      </w:r>
      <w:r w:rsidR="009D534D">
        <w:rPr>
          <w:rFonts w:ascii="Arial" w:hAnsi="Arial" w:cs="Arial"/>
          <w:b/>
          <w:bCs/>
          <w:sz w:val="24"/>
        </w:rPr>
        <w:t>4</w:t>
      </w:r>
      <w:r w:rsidR="00594E1B">
        <w:rPr>
          <w:rFonts w:ascii="Arial" w:hAnsi="Arial" w:cs="Arial"/>
          <w:b/>
          <w:bCs/>
          <w:sz w:val="24"/>
        </w:rPr>
        <w:t xml:space="preserve"> Meeting</w:t>
      </w:r>
    </w:p>
    <w:p w:rsidR="00594E1B" w:rsidRDefault="00001867" w:rsidP="00445DB2">
      <w:pPr>
        <w:tabs>
          <w:tab w:val="center" w:pos="4680"/>
          <w:tab w:val="left" w:pos="6469"/>
        </w:tabs>
        <w:contextualSpacing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Washington DC Metro Area</w:t>
      </w:r>
      <w:r w:rsidR="00A30D16">
        <w:rPr>
          <w:rFonts w:ascii="Arial" w:hAnsi="Arial" w:cs="Arial"/>
          <w:b/>
          <w:bCs/>
          <w:sz w:val="24"/>
        </w:rPr>
        <w:t>, USA</w:t>
      </w:r>
    </w:p>
    <w:p w:rsidR="00594E1B" w:rsidRPr="00BB004C" w:rsidRDefault="00C877CE" w:rsidP="00A30D16">
      <w:pPr>
        <w:pStyle w:val="Heading1"/>
        <w:spacing w:before="0" w:after="0"/>
        <w:contextualSpacing/>
        <w:jc w:val="center"/>
      </w:pPr>
      <w:r>
        <w:rPr>
          <w:b w:val="0"/>
          <w:bCs w:val="0"/>
        </w:rPr>
        <w:br/>
      </w:r>
      <w:r w:rsidR="00001867">
        <w:t>P</w:t>
      </w:r>
      <w:r w:rsidR="00D01871">
        <w:t xml:space="preserve">roposed IEEE </w:t>
      </w:r>
      <w:r w:rsidR="00001867" w:rsidRPr="00001867">
        <w:t>GIC Guide and Upcoming NERC Documents</w:t>
      </w:r>
      <w:bookmarkStart w:id="0" w:name="_GoBack"/>
      <w:bookmarkEnd w:id="0"/>
      <w:r w:rsidR="00302AAF">
        <w:br/>
      </w:r>
      <w:r w:rsidR="00001867">
        <w:t>on Geomagnetic Disturbance Mitigation</w:t>
      </w:r>
    </w:p>
    <w:p w:rsidR="00556887" w:rsidRPr="00BB004C" w:rsidRDefault="00556887" w:rsidP="00A30D16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:rsidR="00556887" w:rsidRPr="00BB004C" w:rsidRDefault="00EC4C6D" w:rsidP="00A30D16">
      <w:pPr>
        <w:contextualSpacing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—</w:t>
      </w:r>
      <w:r w:rsidR="00594E1B" w:rsidRPr="00BB004C">
        <w:rPr>
          <w:rFonts w:ascii="Arial" w:hAnsi="Arial" w:cs="Arial"/>
          <w:b/>
          <w:bCs/>
          <w:sz w:val="24"/>
        </w:rPr>
        <w:t xml:space="preserve"> Technical </w:t>
      </w:r>
      <w:r w:rsidR="00E8690F" w:rsidRPr="00BB004C">
        <w:rPr>
          <w:rFonts w:ascii="Arial" w:hAnsi="Arial" w:cs="Arial"/>
          <w:b/>
          <w:bCs/>
          <w:sz w:val="24"/>
        </w:rPr>
        <w:t xml:space="preserve">Presentation </w:t>
      </w:r>
      <w:r>
        <w:rPr>
          <w:rFonts w:ascii="Arial" w:hAnsi="Arial" w:cs="Arial"/>
          <w:b/>
          <w:bCs/>
          <w:sz w:val="24"/>
        </w:rPr>
        <w:t>—</w:t>
      </w:r>
    </w:p>
    <w:p w:rsidR="00594E1B" w:rsidRPr="00BB004C" w:rsidRDefault="00451F5B" w:rsidP="00A30D16">
      <w:pPr>
        <w:contextualSpacing/>
        <w:jc w:val="center"/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</w:rPr>
        <w:t>Thursday</w:t>
      </w:r>
      <w:r w:rsidR="000A71CF" w:rsidRPr="00BB004C">
        <w:rPr>
          <w:rFonts w:ascii="Arial" w:hAnsi="Arial" w:cs="Arial"/>
          <w:b/>
          <w:bCs/>
          <w:sz w:val="24"/>
        </w:rPr>
        <w:t xml:space="preserve">, </w:t>
      </w:r>
      <w:r w:rsidR="00001867">
        <w:rPr>
          <w:rFonts w:ascii="Arial" w:hAnsi="Arial" w:cs="Arial"/>
          <w:b/>
          <w:bCs/>
          <w:sz w:val="24"/>
        </w:rPr>
        <w:t>October 23, 2014</w:t>
      </w:r>
    </w:p>
    <w:p w:rsidR="00D52E5E" w:rsidRPr="00EC4C6D" w:rsidRDefault="00001867" w:rsidP="00A30D16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00001867">
        <w:rPr>
          <w:rFonts w:ascii="Arial" w:hAnsi="Arial" w:cs="Arial"/>
          <w:b/>
          <w:bCs/>
          <w:sz w:val="21"/>
          <w:szCs w:val="21"/>
        </w:rPr>
        <w:t>Ramsis</w:t>
      </w:r>
      <w:proofErr w:type="spellEnd"/>
      <w:r w:rsidRPr="00001867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001867">
        <w:rPr>
          <w:rFonts w:ascii="Arial" w:hAnsi="Arial" w:cs="Arial"/>
          <w:b/>
          <w:bCs/>
          <w:sz w:val="21"/>
          <w:szCs w:val="21"/>
        </w:rPr>
        <w:t>Girgis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Frank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Koza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and Jane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Verner</w:t>
      </w:r>
      <w:proofErr w:type="spellEnd"/>
    </w:p>
    <w:p w:rsidR="00E8690F" w:rsidRDefault="00E8690F" w:rsidP="00A30D16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:rsidR="00445DB2" w:rsidRPr="00BB004C" w:rsidRDefault="00445DB2" w:rsidP="00445DB2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:rsidR="00594E1B" w:rsidRPr="00AF1DDD" w:rsidRDefault="00D82314" w:rsidP="00D018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360"/>
        <w:rPr>
          <w:rFonts w:ascii="Arial" w:hAnsi="Arial" w:cs="Arial"/>
          <w:b/>
          <w:bCs/>
          <w:sz w:val="24"/>
        </w:rPr>
      </w:pPr>
      <w:r w:rsidRPr="00AF1DDD">
        <w:rPr>
          <w:rFonts w:ascii="Arial" w:hAnsi="Arial" w:cs="Arial"/>
          <w:b/>
          <w:bCs/>
          <w:sz w:val="24"/>
          <w:u w:val="single"/>
        </w:rPr>
        <w:t>Abstract</w:t>
      </w:r>
    </w:p>
    <w:p w:rsidR="00D01871" w:rsidRDefault="00D01871" w:rsidP="00D01871">
      <w:pPr>
        <w:ind w:left="360" w:hanging="360"/>
        <w:contextualSpacing/>
        <w:rPr>
          <w:rFonts w:ascii="Arial" w:hAnsi="Arial" w:cs="Arial"/>
        </w:rPr>
      </w:pPr>
    </w:p>
    <w:p w:rsidR="00AF1DDD" w:rsidRDefault="00445DB2" w:rsidP="00FE3C25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Geo</w:t>
      </w:r>
      <w:r w:rsidR="00D01871">
        <w:rPr>
          <w:rFonts w:ascii="Arial" w:hAnsi="Arial" w:cs="Arial"/>
        </w:rPr>
        <w:t>magnetically i</w:t>
      </w:r>
      <w:r w:rsidR="00AF1DDD" w:rsidRPr="00AF1DDD">
        <w:rPr>
          <w:rFonts w:ascii="Arial" w:hAnsi="Arial" w:cs="Arial"/>
        </w:rPr>
        <w:t xml:space="preserve">nduced </w:t>
      </w:r>
      <w:r w:rsidR="00D01871">
        <w:rPr>
          <w:rFonts w:ascii="Arial" w:hAnsi="Arial" w:cs="Arial"/>
        </w:rPr>
        <w:t>currents (GIC) can cause partial-</w:t>
      </w:r>
      <w:r w:rsidR="00AF1DDD" w:rsidRPr="00AF1DDD">
        <w:rPr>
          <w:rFonts w:ascii="Arial" w:hAnsi="Arial" w:cs="Arial"/>
        </w:rPr>
        <w:t>cycle core saturation</w:t>
      </w:r>
      <w:r w:rsidR="00A30D16">
        <w:rPr>
          <w:rFonts w:ascii="Arial" w:hAnsi="Arial" w:cs="Arial"/>
        </w:rPr>
        <w:t>,</w:t>
      </w:r>
      <w:r w:rsidR="00AF1DDD" w:rsidRPr="00AF1DDD">
        <w:rPr>
          <w:rFonts w:ascii="Arial" w:hAnsi="Arial" w:cs="Arial"/>
        </w:rPr>
        <w:t xml:space="preserve"> depending on the magnitude of the GIC and the design of the transformer.</w:t>
      </w:r>
      <w:r w:rsidR="00D01871">
        <w:rPr>
          <w:rFonts w:ascii="Arial" w:hAnsi="Arial" w:cs="Arial"/>
        </w:rPr>
        <w:t xml:space="preserve"> </w:t>
      </w:r>
      <w:r w:rsidR="00AF1DDD" w:rsidRPr="00AF1DDD">
        <w:rPr>
          <w:rFonts w:ascii="Arial" w:hAnsi="Arial" w:cs="Arial"/>
        </w:rPr>
        <w:t xml:space="preserve"> This core saturation leads to a</w:t>
      </w:r>
      <w:r w:rsidR="00D01871">
        <w:rPr>
          <w:rFonts w:ascii="Arial" w:hAnsi="Arial" w:cs="Arial"/>
        </w:rPr>
        <w:t>dditional VAR</w:t>
      </w:r>
      <w:r w:rsidR="00AF1DDD" w:rsidRPr="00AF1DDD">
        <w:rPr>
          <w:rFonts w:ascii="Arial" w:hAnsi="Arial" w:cs="Arial"/>
        </w:rPr>
        <w:t xml:space="preserve"> demand and inje</w:t>
      </w:r>
      <w:r w:rsidR="00D01871">
        <w:rPr>
          <w:rFonts w:ascii="Arial" w:hAnsi="Arial" w:cs="Arial"/>
        </w:rPr>
        <w:t>cts current harmonics into the g</w:t>
      </w:r>
      <w:r w:rsidR="00AF1DDD" w:rsidRPr="00AF1DDD">
        <w:rPr>
          <w:rFonts w:ascii="Arial" w:hAnsi="Arial" w:cs="Arial"/>
        </w:rPr>
        <w:t xml:space="preserve">rid. </w:t>
      </w:r>
      <w:r w:rsidR="00D01871">
        <w:rPr>
          <w:rFonts w:ascii="Arial" w:hAnsi="Arial" w:cs="Arial"/>
        </w:rPr>
        <w:t xml:space="preserve"> </w:t>
      </w:r>
      <w:r w:rsidR="00AF1DDD" w:rsidRPr="00AF1DDD">
        <w:rPr>
          <w:rFonts w:ascii="Arial" w:hAnsi="Arial" w:cs="Arial"/>
        </w:rPr>
        <w:t xml:space="preserve">When large enough, a </w:t>
      </w:r>
      <w:r w:rsidR="00D01871">
        <w:rPr>
          <w:rFonts w:ascii="Arial" w:hAnsi="Arial" w:cs="Arial"/>
        </w:rPr>
        <w:t>geomagnetic disturbance (</w:t>
      </w:r>
      <w:r w:rsidR="00AF1DDD" w:rsidRPr="00AF1DDD">
        <w:rPr>
          <w:rFonts w:ascii="Arial" w:hAnsi="Arial" w:cs="Arial"/>
        </w:rPr>
        <w:t>GMD</w:t>
      </w:r>
      <w:r w:rsidR="00D01871">
        <w:rPr>
          <w:rFonts w:ascii="Arial" w:hAnsi="Arial" w:cs="Arial"/>
        </w:rPr>
        <w:t>)</w:t>
      </w:r>
      <w:r w:rsidR="00AF1DDD" w:rsidRPr="00AF1DDD">
        <w:rPr>
          <w:rFonts w:ascii="Arial" w:hAnsi="Arial" w:cs="Arial"/>
        </w:rPr>
        <w:t xml:space="preserve"> can result in voltage instabilities and subsequent blackouts. </w:t>
      </w:r>
      <w:r w:rsidR="00D01871">
        <w:rPr>
          <w:rFonts w:ascii="Arial" w:hAnsi="Arial" w:cs="Arial"/>
        </w:rPr>
        <w:t xml:space="preserve"> Another consequence of partial </w:t>
      </w:r>
      <w:r w:rsidR="00AF1DDD" w:rsidRPr="00AF1DDD">
        <w:rPr>
          <w:rFonts w:ascii="Arial" w:hAnsi="Arial" w:cs="Arial"/>
        </w:rPr>
        <w:t>cycle saturation</w:t>
      </w:r>
      <w:r w:rsidR="00D01871">
        <w:rPr>
          <w:rFonts w:ascii="Arial" w:hAnsi="Arial" w:cs="Arial"/>
        </w:rPr>
        <w:t xml:space="preserve"> of a core</w:t>
      </w:r>
      <w:r w:rsidR="00AF1DDD" w:rsidRPr="00AF1DDD">
        <w:rPr>
          <w:rFonts w:ascii="Arial" w:hAnsi="Arial" w:cs="Arial"/>
        </w:rPr>
        <w:t xml:space="preserve"> is additional heating of transformer windings and structural parts.</w:t>
      </w:r>
    </w:p>
    <w:p w:rsidR="00445DB2" w:rsidRPr="00AF1DDD" w:rsidRDefault="00445DB2" w:rsidP="00FE3C25">
      <w:pPr>
        <w:ind w:left="360"/>
        <w:contextualSpacing/>
        <w:jc w:val="both"/>
        <w:rPr>
          <w:rFonts w:ascii="Arial" w:hAnsi="Arial" w:cs="Arial"/>
        </w:rPr>
      </w:pPr>
    </w:p>
    <w:p w:rsidR="00AF1DDD" w:rsidRDefault="00AF1DDD" w:rsidP="00FE3C25">
      <w:pPr>
        <w:ind w:left="360"/>
        <w:contextualSpacing/>
        <w:jc w:val="both"/>
        <w:rPr>
          <w:rFonts w:ascii="Arial" w:hAnsi="Arial" w:cs="Arial"/>
        </w:rPr>
      </w:pPr>
      <w:r w:rsidRPr="00AF1DDD">
        <w:rPr>
          <w:rFonts w:ascii="Arial" w:hAnsi="Arial" w:cs="Arial"/>
        </w:rPr>
        <w:t xml:space="preserve">In May 2013, FERC issued Order 779 which directs NERC to submit Reliability Standards </w:t>
      </w:r>
      <w:r w:rsidR="00D01871">
        <w:rPr>
          <w:rFonts w:ascii="Arial" w:hAnsi="Arial" w:cs="Arial"/>
        </w:rPr>
        <w:t>which</w:t>
      </w:r>
      <w:r w:rsidRPr="00AF1DDD">
        <w:rPr>
          <w:rFonts w:ascii="Arial" w:hAnsi="Arial" w:cs="Arial"/>
        </w:rPr>
        <w:t xml:space="preserve"> address the impact of GMD on</w:t>
      </w:r>
      <w:r w:rsidR="00D01871">
        <w:rPr>
          <w:rFonts w:ascii="Arial" w:hAnsi="Arial" w:cs="Arial"/>
        </w:rPr>
        <w:t xml:space="preserve"> the reliable operation of the bulk power s</w:t>
      </w:r>
      <w:r w:rsidRPr="00AF1DDD">
        <w:rPr>
          <w:rFonts w:ascii="Arial" w:hAnsi="Arial" w:cs="Arial"/>
        </w:rPr>
        <w:t>ystem.</w:t>
      </w:r>
      <w:r w:rsidR="00D01871">
        <w:rPr>
          <w:rFonts w:ascii="Arial" w:hAnsi="Arial" w:cs="Arial"/>
        </w:rPr>
        <w:t xml:space="preserve"> </w:t>
      </w:r>
      <w:r w:rsidRPr="00AF1DDD">
        <w:rPr>
          <w:rFonts w:ascii="Arial" w:hAnsi="Arial" w:cs="Arial"/>
        </w:rPr>
        <w:t xml:space="preserve"> Also, t</w:t>
      </w:r>
      <w:r w:rsidR="00D01871">
        <w:rPr>
          <w:rFonts w:ascii="Arial" w:hAnsi="Arial" w:cs="Arial"/>
        </w:rPr>
        <w:t>he IEEE Transformers Committee formed a working group</w:t>
      </w:r>
      <w:r w:rsidRPr="00AF1DDD">
        <w:rPr>
          <w:rFonts w:ascii="Arial" w:hAnsi="Arial" w:cs="Arial"/>
        </w:rPr>
        <w:t xml:space="preserve"> to develop</w:t>
      </w:r>
      <w:r w:rsidR="00D01871">
        <w:rPr>
          <w:rFonts w:ascii="Arial" w:hAnsi="Arial" w:cs="Arial"/>
        </w:rPr>
        <w:t xml:space="preserve"> </w:t>
      </w:r>
      <w:r w:rsidR="00C72814">
        <w:rPr>
          <w:rFonts w:ascii="Arial" w:hAnsi="Arial" w:cs="Arial"/>
        </w:rPr>
        <w:t xml:space="preserve">a </w:t>
      </w:r>
      <w:r w:rsidR="00D01871">
        <w:rPr>
          <w:rFonts w:ascii="Arial" w:hAnsi="Arial" w:cs="Arial"/>
        </w:rPr>
        <w:t>guide associate with the subject.</w:t>
      </w:r>
    </w:p>
    <w:p w:rsidR="00445DB2" w:rsidRPr="00AF1DDD" w:rsidRDefault="00445DB2" w:rsidP="00FE3C25">
      <w:pPr>
        <w:ind w:left="360"/>
        <w:contextualSpacing/>
        <w:jc w:val="both"/>
        <w:rPr>
          <w:rFonts w:ascii="Arial" w:hAnsi="Arial" w:cs="Arial"/>
        </w:rPr>
      </w:pPr>
    </w:p>
    <w:p w:rsidR="00FE3C25" w:rsidRDefault="00AF1DDD" w:rsidP="00FE3C25">
      <w:pPr>
        <w:ind w:left="360"/>
        <w:contextualSpacing/>
        <w:jc w:val="both"/>
        <w:rPr>
          <w:rFonts w:ascii="Arial" w:hAnsi="Arial" w:cs="Arial"/>
        </w:rPr>
      </w:pPr>
      <w:r w:rsidRPr="00AF1DDD">
        <w:rPr>
          <w:rFonts w:ascii="Arial" w:hAnsi="Arial" w:cs="Arial"/>
        </w:rPr>
        <w:t>Thi</w:t>
      </w:r>
      <w:r w:rsidR="00D01871">
        <w:rPr>
          <w:rFonts w:ascii="Arial" w:hAnsi="Arial" w:cs="Arial"/>
        </w:rPr>
        <w:t>s presentation</w:t>
      </w:r>
      <w:r w:rsidR="00445DB2">
        <w:rPr>
          <w:rFonts w:ascii="Arial" w:hAnsi="Arial" w:cs="Arial"/>
        </w:rPr>
        <w:t xml:space="preserve"> has three parts</w:t>
      </w:r>
      <w:r w:rsidRPr="00AF1DDD">
        <w:rPr>
          <w:rFonts w:ascii="Arial" w:hAnsi="Arial" w:cs="Arial"/>
        </w:rPr>
        <w:t xml:space="preserve">. </w:t>
      </w:r>
      <w:r w:rsidR="00445DB2">
        <w:rPr>
          <w:rFonts w:ascii="Arial" w:hAnsi="Arial" w:cs="Arial"/>
        </w:rPr>
        <w:t xml:space="preserve"> </w:t>
      </w:r>
      <w:r w:rsidRPr="00AF1DDD">
        <w:rPr>
          <w:rFonts w:ascii="Arial" w:hAnsi="Arial" w:cs="Arial"/>
        </w:rPr>
        <w:t xml:space="preserve">Frank </w:t>
      </w:r>
      <w:proofErr w:type="spellStart"/>
      <w:r w:rsidRPr="00AF1DDD">
        <w:rPr>
          <w:rFonts w:ascii="Arial" w:hAnsi="Arial" w:cs="Arial"/>
        </w:rPr>
        <w:t>Koza</w:t>
      </w:r>
      <w:proofErr w:type="spellEnd"/>
      <w:r w:rsidRPr="00AF1DDD">
        <w:rPr>
          <w:rFonts w:ascii="Arial" w:hAnsi="Arial" w:cs="Arial"/>
        </w:rPr>
        <w:t xml:space="preserve">, who is the chairman of the drafting team of the NERC documents, will provide an overview of the content of these documents. </w:t>
      </w:r>
      <w:r w:rsidR="00D01871">
        <w:rPr>
          <w:rFonts w:ascii="Arial" w:hAnsi="Arial" w:cs="Arial"/>
        </w:rPr>
        <w:t xml:space="preserve"> </w:t>
      </w:r>
      <w:r w:rsidRPr="00AF1DDD">
        <w:rPr>
          <w:rFonts w:ascii="Arial" w:hAnsi="Arial" w:cs="Arial"/>
        </w:rPr>
        <w:t xml:space="preserve">Jane </w:t>
      </w:r>
      <w:proofErr w:type="spellStart"/>
      <w:r w:rsidRPr="00AF1DDD">
        <w:rPr>
          <w:rFonts w:ascii="Arial" w:hAnsi="Arial" w:cs="Arial"/>
        </w:rPr>
        <w:t>Verner</w:t>
      </w:r>
      <w:proofErr w:type="spellEnd"/>
      <w:r w:rsidRPr="00AF1DDD">
        <w:rPr>
          <w:rFonts w:ascii="Arial" w:hAnsi="Arial" w:cs="Arial"/>
        </w:rPr>
        <w:t>, who i</w:t>
      </w:r>
      <w:r w:rsidR="00FE3C25">
        <w:rPr>
          <w:rFonts w:ascii="Arial" w:hAnsi="Arial" w:cs="Arial"/>
        </w:rPr>
        <w:t xml:space="preserve">s chairman of the IEEE GDM </w:t>
      </w:r>
      <w:r w:rsidR="00D01871">
        <w:rPr>
          <w:rFonts w:ascii="Arial" w:hAnsi="Arial" w:cs="Arial"/>
        </w:rPr>
        <w:t>working group</w:t>
      </w:r>
      <w:r w:rsidR="00FE3C25">
        <w:rPr>
          <w:rFonts w:ascii="Arial" w:hAnsi="Arial" w:cs="Arial"/>
        </w:rPr>
        <w:t xml:space="preserve">, </w:t>
      </w:r>
      <w:r w:rsidR="00D01871">
        <w:rPr>
          <w:rFonts w:ascii="Arial" w:hAnsi="Arial" w:cs="Arial"/>
        </w:rPr>
        <w:t>w</w:t>
      </w:r>
      <w:r w:rsidRPr="00AF1DDD">
        <w:rPr>
          <w:rFonts w:ascii="Arial" w:hAnsi="Arial" w:cs="Arial"/>
        </w:rPr>
        <w:t xml:space="preserve">ill give an overview </w:t>
      </w:r>
      <w:r w:rsidR="00D01871">
        <w:rPr>
          <w:rFonts w:ascii="Arial" w:hAnsi="Arial" w:cs="Arial"/>
        </w:rPr>
        <w:t xml:space="preserve">of the content of the proposed </w:t>
      </w:r>
      <w:r w:rsidR="00FE3C25">
        <w:rPr>
          <w:rFonts w:ascii="Arial" w:hAnsi="Arial" w:cs="Arial"/>
        </w:rPr>
        <w:t>IEEE GIC Guide</w:t>
      </w:r>
      <w:r w:rsidRPr="00AF1DDD">
        <w:rPr>
          <w:rFonts w:ascii="Arial" w:hAnsi="Arial" w:cs="Arial"/>
        </w:rPr>
        <w:t xml:space="preserve">. </w:t>
      </w:r>
      <w:r w:rsidR="00D01871">
        <w:rPr>
          <w:rFonts w:ascii="Arial" w:hAnsi="Arial" w:cs="Arial"/>
        </w:rPr>
        <w:t xml:space="preserve"> Finally, Ramsis Girgis will present</w:t>
      </w:r>
      <w:r w:rsidRPr="00AF1DDD">
        <w:rPr>
          <w:rFonts w:ascii="Arial" w:hAnsi="Arial" w:cs="Arial"/>
        </w:rPr>
        <w:t xml:space="preserve"> some of the main technical differences between the content of the NERC documents and the IEEE GIC Guide.</w:t>
      </w:r>
    </w:p>
    <w:p w:rsidR="00E8690F" w:rsidRDefault="00E8690F" w:rsidP="00FE3C25">
      <w:pPr>
        <w:ind w:left="360"/>
        <w:contextualSpacing/>
        <w:jc w:val="both"/>
        <w:rPr>
          <w:rFonts w:ascii="Arial" w:hAnsi="Arial" w:cs="Arial"/>
          <w:szCs w:val="24"/>
        </w:rPr>
      </w:pPr>
    </w:p>
    <w:p w:rsidR="00D01871" w:rsidRPr="00BB004C" w:rsidRDefault="00D01871" w:rsidP="00D01871">
      <w:pPr>
        <w:ind w:left="360"/>
        <w:contextualSpacing/>
        <w:rPr>
          <w:rFonts w:ascii="Arial" w:hAnsi="Arial" w:cs="Arial"/>
          <w:szCs w:val="24"/>
        </w:rPr>
      </w:pPr>
    </w:p>
    <w:p w:rsidR="00594E1B" w:rsidRPr="00D01871" w:rsidRDefault="00594E1B" w:rsidP="00D0187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bCs/>
          <w:sz w:val="24"/>
        </w:rPr>
      </w:pPr>
      <w:r w:rsidRPr="00D01871">
        <w:rPr>
          <w:rFonts w:ascii="Arial" w:hAnsi="Arial" w:cs="Arial"/>
          <w:b/>
          <w:bCs/>
          <w:sz w:val="24"/>
          <w:u w:val="single"/>
        </w:rPr>
        <w:t>Learning Objectives</w:t>
      </w:r>
    </w:p>
    <w:p w:rsidR="00D01871" w:rsidRPr="00FE3C25" w:rsidRDefault="00D01871" w:rsidP="00D01871">
      <w:pPr>
        <w:ind w:left="360"/>
        <w:contextualSpacing/>
        <w:jc w:val="both"/>
        <w:rPr>
          <w:rFonts w:ascii="Arial" w:hAnsi="Arial" w:cs="Arial"/>
        </w:rPr>
      </w:pPr>
    </w:p>
    <w:p w:rsidR="00FE3C25" w:rsidRDefault="00C72814" w:rsidP="00A30D16">
      <w:pPr>
        <w:autoSpaceDE w:val="0"/>
        <w:autoSpaceDN w:val="0"/>
        <w:adjustRightInd w:val="0"/>
        <w:ind w:left="720" w:hanging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This presentation plans to</w:t>
      </w:r>
    </w:p>
    <w:p w:rsidR="00A23442" w:rsidRPr="00FE3C25" w:rsidRDefault="00A23442" w:rsidP="00A30D16">
      <w:pPr>
        <w:autoSpaceDE w:val="0"/>
        <w:autoSpaceDN w:val="0"/>
        <w:adjustRightInd w:val="0"/>
        <w:ind w:left="720" w:hanging="360"/>
        <w:contextualSpacing/>
        <w:rPr>
          <w:rFonts w:ascii="Arial" w:hAnsi="Arial" w:cs="Arial"/>
        </w:rPr>
      </w:pPr>
    </w:p>
    <w:p w:rsidR="00FE3C25" w:rsidRPr="00FE3C25" w:rsidRDefault="00FE3C25" w:rsidP="00A30D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3C25">
        <w:rPr>
          <w:rFonts w:ascii="Arial" w:hAnsi="Arial" w:cs="Arial"/>
          <w:sz w:val="20"/>
          <w:szCs w:val="20"/>
        </w:rPr>
        <w:t>Explain how the</w:t>
      </w:r>
      <w:r>
        <w:rPr>
          <w:rFonts w:ascii="Arial" w:hAnsi="Arial" w:cs="Arial"/>
          <w:sz w:val="20"/>
          <w:szCs w:val="20"/>
        </w:rPr>
        <w:t xml:space="preserve"> different NERC documents </w:t>
      </w:r>
      <w:r w:rsidRPr="00FE3C25">
        <w:rPr>
          <w:rFonts w:ascii="Arial" w:hAnsi="Arial" w:cs="Arial"/>
          <w:sz w:val="20"/>
          <w:szCs w:val="20"/>
        </w:rPr>
        <w:t>help in mitigating the effec</w:t>
      </w:r>
      <w:r>
        <w:rPr>
          <w:rFonts w:ascii="Arial" w:hAnsi="Arial" w:cs="Arial"/>
          <w:sz w:val="20"/>
          <w:szCs w:val="20"/>
        </w:rPr>
        <w:t>ts of strong GMD storms on the p</w:t>
      </w:r>
      <w:r w:rsidRPr="00FE3C2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wer grid and power transformers.</w:t>
      </w:r>
    </w:p>
    <w:p w:rsidR="00FE3C25" w:rsidRPr="00FE3C25" w:rsidRDefault="00FE3C25" w:rsidP="00A30D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3C25">
        <w:rPr>
          <w:rFonts w:ascii="Arial" w:hAnsi="Arial" w:cs="Arial"/>
          <w:sz w:val="20"/>
          <w:szCs w:val="20"/>
        </w:rPr>
        <w:t>Describe how th</w:t>
      </w:r>
      <w:r>
        <w:rPr>
          <w:rFonts w:ascii="Arial" w:hAnsi="Arial" w:cs="Arial"/>
          <w:sz w:val="20"/>
          <w:szCs w:val="20"/>
        </w:rPr>
        <w:t xml:space="preserve">e proposed IEEE GIC Guide </w:t>
      </w:r>
      <w:r w:rsidRPr="00FE3C25">
        <w:rPr>
          <w:rFonts w:ascii="Arial" w:hAnsi="Arial" w:cs="Arial"/>
          <w:sz w:val="20"/>
          <w:szCs w:val="20"/>
        </w:rPr>
        <w:t>help</w:t>
      </w:r>
      <w:r>
        <w:rPr>
          <w:rFonts w:ascii="Arial" w:hAnsi="Arial" w:cs="Arial"/>
          <w:sz w:val="20"/>
          <w:szCs w:val="20"/>
        </w:rPr>
        <w:t xml:space="preserve">s in </w:t>
      </w:r>
      <w:r w:rsidRPr="00FE3C25">
        <w:rPr>
          <w:rFonts w:ascii="Arial" w:hAnsi="Arial" w:cs="Arial"/>
          <w:sz w:val="20"/>
          <w:szCs w:val="20"/>
        </w:rPr>
        <w:t>proper evalu</w:t>
      </w:r>
      <w:r>
        <w:rPr>
          <w:rFonts w:ascii="Arial" w:hAnsi="Arial" w:cs="Arial"/>
          <w:sz w:val="20"/>
          <w:szCs w:val="20"/>
        </w:rPr>
        <w:t>ation and s</w:t>
      </w:r>
      <w:r w:rsidRPr="00FE3C25">
        <w:rPr>
          <w:rFonts w:ascii="Arial" w:hAnsi="Arial" w:cs="Arial"/>
          <w:sz w:val="20"/>
          <w:szCs w:val="20"/>
        </w:rPr>
        <w:t xml:space="preserve">pecification of the GIC </w:t>
      </w:r>
      <w:r>
        <w:rPr>
          <w:rFonts w:ascii="Arial" w:hAnsi="Arial" w:cs="Arial"/>
          <w:sz w:val="20"/>
          <w:szCs w:val="20"/>
        </w:rPr>
        <w:t>capability of new and existing power t</w:t>
      </w:r>
      <w:r w:rsidRPr="00FE3C25">
        <w:rPr>
          <w:rFonts w:ascii="Arial" w:hAnsi="Arial" w:cs="Arial"/>
          <w:sz w:val="20"/>
          <w:szCs w:val="20"/>
        </w:rPr>
        <w:t>ransformers</w:t>
      </w:r>
      <w:r>
        <w:rPr>
          <w:rFonts w:ascii="Arial" w:hAnsi="Arial" w:cs="Arial"/>
          <w:sz w:val="20"/>
          <w:szCs w:val="20"/>
        </w:rPr>
        <w:t>.</w:t>
      </w:r>
      <w:r w:rsidRPr="00FE3C25">
        <w:rPr>
          <w:rFonts w:ascii="Arial" w:hAnsi="Arial" w:cs="Arial"/>
          <w:sz w:val="20"/>
          <w:szCs w:val="20"/>
        </w:rPr>
        <w:t xml:space="preserve">   </w:t>
      </w:r>
    </w:p>
    <w:p w:rsidR="006E15E3" w:rsidRPr="00FE3C25" w:rsidRDefault="00A23442" w:rsidP="00A30D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the factors used in</w:t>
      </w:r>
      <w:r w:rsidR="00FE3C25" w:rsidRPr="00FE3C25">
        <w:rPr>
          <w:rFonts w:ascii="Arial" w:hAnsi="Arial" w:cs="Arial"/>
          <w:sz w:val="20"/>
          <w:szCs w:val="20"/>
        </w:rPr>
        <w:t xml:space="preserve"> appropriate evaluation </w:t>
      </w:r>
      <w:r w:rsidR="00FE3C25">
        <w:rPr>
          <w:rFonts w:ascii="Arial" w:hAnsi="Arial" w:cs="Arial"/>
          <w:sz w:val="20"/>
          <w:szCs w:val="20"/>
        </w:rPr>
        <w:t>of the GIC capability of power t</w:t>
      </w:r>
      <w:r w:rsidR="00FE3C25" w:rsidRPr="00FE3C25">
        <w:rPr>
          <w:rFonts w:ascii="Arial" w:hAnsi="Arial" w:cs="Arial"/>
          <w:sz w:val="20"/>
          <w:szCs w:val="20"/>
        </w:rPr>
        <w:t>ransformers</w:t>
      </w:r>
      <w:r w:rsidR="00FE3C25">
        <w:rPr>
          <w:rFonts w:ascii="Arial" w:hAnsi="Arial" w:cs="Arial"/>
          <w:sz w:val="20"/>
          <w:szCs w:val="20"/>
        </w:rPr>
        <w:t>.</w:t>
      </w:r>
    </w:p>
    <w:p w:rsidR="00D01871" w:rsidRDefault="00D01871" w:rsidP="00A30D16">
      <w:pPr>
        <w:autoSpaceDE w:val="0"/>
        <w:autoSpaceDN w:val="0"/>
        <w:adjustRightInd w:val="0"/>
        <w:ind w:left="360" w:hanging="360"/>
        <w:contextualSpacing/>
        <w:rPr>
          <w:rFonts w:ascii="Arial" w:hAnsi="Arial" w:cs="Arial"/>
        </w:rPr>
      </w:pPr>
    </w:p>
    <w:p w:rsidR="00A30D16" w:rsidRPr="00FE3C25" w:rsidRDefault="00A30D16" w:rsidP="00A30D16">
      <w:pPr>
        <w:autoSpaceDE w:val="0"/>
        <w:autoSpaceDN w:val="0"/>
        <w:adjustRightInd w:val="0"/>
        <w:ind w:left="360" w:hanging="360"/>
        <w:contextualSpacing/>
        <w:rPr>
          <w:rFonts w:ascii="Arial" w:hAnsi="Arial" w:cs="Arial"/>
        </w:rPr>
      </w:pPr>
    </w:p>
    <w:p w:rsidR="00594E1B" w:rsidRPr="00D01871" w:rsidRDefault="00594E1B" w:rsidP="00A30D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D01871">
        <w:rPr>
          <w:rFonts w:ascii="Arial" w:hAnsi="Arial" w:cs="Arial"/>
          <w:b/>
          <w:bCs/>
          <w:sz w:val="24"/>
          <w:u w:val="single"/>
        </w:rPr>
        <w:t>Learning Outcomes</w:t>
      </w:r>
    </w:p>
    <w:p w:rsidR="00594E1B" w:rsidRPr="00BB004C" w:rsidRDefault="00594E1B" w:rsidP="00A30D16">
      <w:pPr>
        <w:autoSpaceDE w:val="0"/>
        <w:autoSpaceDN w:val="0"/>
        <w:adjustRightInd w:val="0"/>
        <w:contextualSpacing/>
        <w:rPr>
          <w:rFonts w:ascii="Arial" w:hAnsi="Arial" w:cs="Arial"/>
          <w:szCs w:val="24"/>
        </w:rPr>
      </w:pPr>
    </w:p>
    <w:p w:rsidR="00FE3C25" w:rsidRDefault="00FE3C25" w:rsidP="00A30D16">
      <w:pPr>
        <w:tabs>
          <w:tab w:val="left" w:pos="360"/>
        </w:tabs>
        <w:autoSpaceDE w:val="0"/>
        <w:autoSpaceDN w:val="0"/>
        <w:adjustRightInd w:val="0"/>
        <w:ind w:left="360"/>
        <w:contextualSpacing/>
        <w:rPr>
          <w:rFonts w:ascii="Arial" w:hAnsi="Arial" w:cs="Arial"/>
          <w:szCs w:val="24"/>
        </w:rPr>
      </w:pPr>
      <w:r w:rsidRPr="00224188">
        <w:rPr>
          <w:rFonts w:ascii="Arial" w:hAnsi="Arial" w:cs="Arial"/>
          <w:szCs w:val="24"/>
        </w:rPr>
        <w:t>As a result of attending this session, members will gain an understanding of the following:</w:t>
      </w:r>
    </w:p>
    <w:p w:rsidR="00A23442" w:rsidRDefault="00A23442" w:rsidP="00A30D16">
      <w:pPr>
        <w:tabs>
          <w:tab w:val="left" w:pos="360"/>
        </w:tabs>
        <w:autoSpaceDE w:val="0"/>
        <w:autoSpaceDN w:val="0"/>
        <w:adjustRightInd w:val="0"/>
        <w:ind w:left="360"/>
        <w:contextualSpacing/>
        <w:rPr>
          <w:rFonts w:ascii="Arial" w:hAnsi="Arial" w:cs="Arial"/>
          <w:szCs w:val="24"/>
        </w:rPr>
      </w:pPr>
    </w:p>
    <w:p w:rsidR="00FE3C25" w:rsidRPr="00BF44F3" w:rsidRDefault="00FE3C25" w:rsidP="00A2344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Means of evaluating and mitigating the GMD vulnerability of power systems as proposed by the NERC GMD Task Force. </w:t>
      </w:r>
    </w:p>
    <w:p w:rsidR="00FE3C25" w:rsidRPr="00BF44F3" w:rsidRDefault="00FE3C25" w:rsidP="00A2344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Appropriate means of ev</w:t>
      </w:r>
      <w:r w:rsidR="00A23442">
        <w:rPr>
          <w:rFonts w:ascii="Arial" w:hAnsi="Arial" w:cs="Arial"/>
        </w:rPr>
        <w:t>aluating and confirming</w:t>
      </w:r>
      <w:r>
        <w:rPr>
          <w:rFonts w:ascii="Arial" w:hAnsi="Arial" w:cs="Arial"/>
        </w:rPr>
        <w:t xml:space="preserve"> the GIC withstand capability of power transformers, as proposed by the proposed IEEE GIC Guide. </w:t>
      </w:r>
    </w:p>
    <w:p w:rsidR="00FE3C25" w:rsidRPr="00A23442" w:rsidRDefault="00FE3C25" w:rsidP="00A2344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Technical differences between the content of the IEEE GIC Guide and the content of some of the NERC documents.</w:t>
      </w:r>
    </w:p>
    <w:p w:rsidR="00A23442" w:rsidRDefault="00A23442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br w:type="page"/>
      </w:r>
    </w:p>
    <w:p w:rsidR="006E15E3" w:rsidRPr="00A23442" w:rsidRDefault="00594E1B" w:rsidP="00A234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  <w:r w:rsidRPr="00A23442">
        <w:rPr>
          <w:rFonts w:ascii="Arial" w:hAnsi="Arial" w:cs="Arial"/>
          <w:b/>
          <w:bCs/>
          <w:sz w:val="24"/>
          <w:u w:val="single"/>
        </w:rPr>
        <w:lastRenderedPageBreak/>
        <w:t>Presenter</w:t>
      </w:r>
      <w:r w:rsidR="00556887" w:rsidRPr="00A23442">
        <w:rPr>
          <w:rFonts w:ascii="Arial" w:hAnsi="Arial" w:cs="Arial"/>
          <w:b/>
          <w:bCs/>
          <w:sz w:val="24"/>
          <w:u w:val="single"/>
        </w:rPr>
        <w:t>s</w:t>
      </w:r>
      <w:r w:rsidRPr="00A23442">
        <w:rPr>
          <w:rFonts w:ascii="Arial" w:hAnsi="Arial" w:cs="Arial"/>
          <w:b/>
          <w:bCs/>
          <w:sz w:val="24"/>
          <w:u w:val="single"/>
        </w:rPr>
        <w:t>’ Biographies</w:t>
      </w:r>
    </w:p>
    <w:p w:rsidR="00E06BF9" w:rsidRDefault="00E06BF9" w:rsidP="00A23442">
      <w:pPr>
        <w:ind w:left="360" w:hanging="360"/>
        <w:contextualSpacing/>
        <w:jc w:val="both"/>
        <w:rPr>
          <w:rFonts w:ascii="Arial" w:hAnsi="Arial" w:cs="Arial"/>
          <w:b/>
          <w:u w:val="single"/>
        </w:rPr>
      </w:pPr>
    </w:p>
    <w:p w:rsidR="00A30D16" w:rsidRDefault="00A30D16" w:rsidP="00A23442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 w:rsidRPr="00D11B1F">
        <w:rPr>
          <w:rFonts w:ascii="Arial" w:hAnsi="Arial" w:cs="Arial"/>
          <w:b/>
          <w:sz w:val="22"/>
          <w:szCs w:val="22"/>
        </w:rPr>
        <w:t>Dr. Ramsis Girgis</w:t>
      </w:r>
      <w:r>
        <w:rPr>
          <w:rFonts w:ascii="Arial" w:hAnsi="Arial" w:cs="Arial"/>
        </w:rPr>
        <w:t xml:space="preserve"> (IEEE Life Member) is</w:t>
      </w:r>
      <w:r w:rsidRPr="00C805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presently </w:t>
      </w:r>
      <w:r w:rsidRPr="00C8053F">
        <w:rPr>
          <w:rFonts w:ascii="Arial" w:hAnsi="Arial" w:cs="Arial"/>
        </w:rPr>
        <w:t>the leader of ABB</w:t>
      </w:r>
      <w:r>
        <w:rPr>
          <w:rFonts w:ascii="Arial" w:hAnsi="Arial" w:cs="Arial"/>
        </w:rPr>
        <w:t>'s global</w:t>
      </w:r>
      <w:r w:rsidRPr="00C8053F">
        <w:rPr>
          <w:rFonts w:ascii="Arial" w:hAnsi="Arial" w:cs="Arial"/>
        </w:rPr>
        <w:t xml:space="preserve"> R&amp;D activities in the </w:t>
      </w:r>
      <w:r>
        <w:rPr>
          <w:rFonts w:ascii="Arial" w:hAnsi="Arial" w:cs="Arial"/>
        </w:rPr>
        <w:t>areas of Transformer Core Performance and Low</w:t>
      </w:r>
      <w:r w:rsidR="00C72814">
        <w:rPr>
          <w:rFonts w:ascii="Arial" w:hAnsi="Arial" w:cs="Arial"/>
        </w:rPr>
        <w:t xml:space="preserve"> Noise Transformers.  He has led Westinghouse’s</w:t>
      </w:r>
      <w:r>
        <w:rPr>
          <w:rFonts w:ascii="Arial" w:hAnsi="Arial" w:cs="Arial"/>
        </w:rPr>
        <w:t xml:space="preserve"> and now ABB’s investigations in the area of </w:t>
      </w:r>
      <w:r w:rsidR="00C72814">
        <w:rPr>
          <w:rFonts w:ascii="Arial" w:hAnsi="Arial" w:cs="Arial"/>
        </w:rPr>
        <w:t xml:space="preserve">GIC </w:t>
      </w:r>
      <w:r>
        <w:rPr>
          <w:rFonts w:ascii="Arial" w:hAnsi="Arial" w:cs="Arial"/>
        </w:rPr>
        <w:t xml:space="preserve">effect on power transformers since the </w:t>
      </w:r>
      <w:r w:rsidR="00C72814">
        <w:rPr>
          <w:rFonts w:ascii="Arial" w:hAnsi="Arial" w:cs="Arial"/>
        </w:rPr>
        <w:t>1989 GMD event.  Over the past three</w:t>
      </w:r>
      <w:r>
        <w:rPr>
          <w:rFonts w:ascii="Arial" w:hAnsi="Arial" w:cs="Arial"/>
        </w:rPr>
        <w:t xml:space="preserve"> years, he has contributed to the activities of the NERC GMD TF and is presently a contributor to the IEEE WG developing the IEEE GIC Guide.  Ramsis received his PhD</w:t>
      </w:r>
      <w:r w:rsidRPr="00C8053F">
        <w:rPr>
          <w:rFonts w:ascii="Arial" w:hAnsi="Arial" w:cs="Arial"/>
        </w:rPr>
        <w:t xml:space="preserve"> degree in Electrical Power Engineering from the U</w:t>
      </w:r>
      <w:r>
        <w:rPr>
          <w:rFonts w:ascii="Arial" w:hAnsi="Arial" w:cs="Arial"/>
        </w:rPr>
        <w:t>niversity</w:t>
      </w:r>
      <w:r w:rsidRPr="00C8053F">
        <w:rPr>
          <w:rFonts w:ascii="Arial" w:hAnsi="Arial" w:cs="Arial"/>
        </w:rPr>
        <w:t xml:space="preserve"> of Saskatchewan</w:t>
      </w:r>
      <w:r>
        <w:rPr>
          <w:rFonts w:ascii="Arial" w:hAnsi="Arial" w:cs="Arial"/>
        </w:rPr>
        <w:t xml:space="preserve">, Canada </w:t>
      </w:r>
      <w:r w:rsidRPr="00C8053F">
        <w:rPr>
          <w:rFonts w:ascii="Arial" w:hAnsi="Arial" w:cs="Arial"/>
        </w:rPr>
        <w:t xml:space="preserve">in 1978. </w:t>
      </w:r>
      <w:r w:rsidR="00C728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2013, he w</w:t>
      </w:r>
      <w:r w:rsidRPr="00C8053F">
        <w:rPr>
          <w:rFonts w:ascii="Arial" w:hAnsi="Arial" w:cs="Arial"/>
        </w:rPr>
        <w:t xml:space="preserve">as awarded the </w:t>
      </w:r>
      <w:r>
        <w:rPr>
          <w:rFonts w:ascii="Arial" w:hAnsi="Arial" w:cs="Arial"/>
        </w:rPr>
        <w:t xml:space="preserve">IEEE Standards Medallion for Significant Contributions to the Transformer Industry and Transformer Standards.  In the mid-eighties, Dr. Girgis was the </w:t>
      </w:r>
      <w:r w:rsidRPr="00C8053F">
        <w:rPr>
          <w:rFonts w:ascii="Arial" w:hAnsi="Arial" w:cs="Arial"/>
        </w:rPr>
        <w:t>Technical Advisor</w:t>
      </w:r>
      <w:r>
        <w:rPr>
          <w:rFonts w:ascii="Arial" w:hAnsi="Arial" w:cs="Arial"/>
        </w:rPr>
        <w:t>,</w:t>
      </w:r>
      <w:r w:rsidRPr="00C8053F">
        <w:rPr>
          <w:rFonts w:ascii="Arial" w:hAnsi="Arial" w:cs="Arial"/>
        </w:rPr>
        <w:t xml:space="preserve"> representing the US National Committee in </w:t>
      </w:r>
      <w:r>
        <w:rPr>
          <w:rFonts w:ascii="Arial" w:hAnsi="Arial" w:cs="Arial"/>
        </w:rPr>
        <w:t xml:space="preserve">the </w:t>
      </w:r>
      <w:r w:rsidRPr="00C8053F">
        <w:rPr>
          <w:rFonts w:ascii="Arial" w:hAnsi="Arial" w:cs="Arial"/>
        </w:rPr>
        <w:t>IEC Power Transformer</w:t>
      </w:r>
      <w:r>
        <w:rPr>
          <w:rFonts w:ascii="Arial" w:hAnsi="Arial" w:cs="Arial"/>
        </w:rPr>
        <w:t xml:space="preserve">s </w:t>
      </w:r>
      <w:r w:rsidRPr="00C8053F">
        <w:rPr>
          <w:rFonts w:ascii="Arial" w:hAnsi="Arial" w:cs="Arial"/>
        </w:rPr>
        <w:t>Technical Committee</w:t>
      </w:r>
      <w:r>
        <w:rPr>
          <w:rFonts w:ascii="Arial" w:hAnsi="Arial" w:cs="Arial"/>
        </w:rPr>
        <w:t xml:space="preserve"> 14.</w:t>
      </w:r>
    </w:p>
    <w:p w:rsidR="00A30D16" w:rsidRDefault="00A30D16" w:rsidP="00A30D16">
      <w:pPr>
        <w:ind w:left="360" w:hanging="360"/>
        <w:contextualSpacing/>
        <w:jc w:val="both"/>
        <w:rPr>
          <w:rFonts w:ascii="Arial" w:hAnsi="Arial" w:cs="Arial"/>
          <w:b/>
          <w:u w:val="single"/>
        </w:rPr>
      </w:pPr>
    </w:p>
    <w:p w:rsidR="00FE3C25" w:rsidRPr="007567C4" w:rsidRDefault="00FE3C25" w:rsidP="00A30D1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 w:rsidRPr="007567C4">
        <w:rPr>
          <w:rFonts w:ascii="Arial" w:hAnsi="Arial" w:cs="Arial"/>
          <w:b/>
          <w:sz w:val="22"/>
        </w:rPr>
        <w:t xml:space="preserve">Mr. Frank J. </w:t>
      </w:r>
      <w:proofErr w:type="spellStart"/>
      <w:r w:rsidRPr="007567C4">
        <w:rPr>
          <w:rFonts w:ascii="Arial" w:hAnsi="Arial" w:cs="Arial"/>
          <w:b/>
          <w:sz w:val="22"/>
        </w:rPr>
        <w:t>Koza</w:t>
      </w:r>
      <w:proofErr w:type="spellEnd"/>
      <w:r w:rsidRPr="007567C4">
        <w:rPr>
          <w:rFonts w:ascii="Arial" w:hAnsi="Arial" w:cs="Arial"/>
        </w:rPr>
        <w:t xml:space="preserve"> is Executive Director of </w:t>
      </w:r>
      <w:r>
        <w:rPr>
          <w:rFonts w:ascii="Arial" w:hAnsi="Arial" w:cs="Arial"/>
        </w:rPr>
        <w:t>Infrastructure Planning</w:t>
      </w:r>
      <w:r w:rsidRPr="007567C4">
        <w:rPr>
          <w:rFonts w:ascii="Arial" w:hAnsi="Arial" w:cs="Arial"/>
        </w:rPr>
        <w:t xml:space="preserve"> at PJM Interconnection, where he is responsible for the technical staff supporting </w:t>
      </w:r>
      <w:r>
        <w:rPr>
          <w:rFonts w:ascii="Arial" w:hAnsi="Arial" w:cs="Arial"/>
        </w:rPr>
        <w:t>transmission and generation interconnection projects</w:t>
      </w:r>
      <w:r w:rsidRPr="007567C4">
        <w:rPr>
          <w:rFonts w:ascii="Arial" w:hAnsi="Arial" w:cs="Arial"/>
        </w:rPr>
        <w:t>.  He is Vice Chair of the NERC Geomagnetic Disturbance Task Force</w:t>
      </w:r>
      <w:r w:rsidR="00A30D16">
        <w:rPr>
          <w:rFonts w:ascii="Arial" w:hAnsi="Arial" w:cs="Arial"/>
        </w:rPr>
        <w:t>,</w:t>
      </w:r>
      <w:r w:rsidRPr="007567C4">
        <w:rPr>
          <w:rFonts w:ascii="Arial" w:hAnsi="Arial" w:cs="Arial"/>
        </w:rPr>
        <w:t xml:space="preserve"> and was formerly Chair of the NERC Operating Reliability Subcommittee.  He received a BSME degree from the </w:t>
      </w:r>
      <w:smartTag w:uri="urn:schemas-microsoft-com:office:smarttags" w:element="PlaceType">
        <w:r w:rsidRPr="007567C4">
          <w:rPr>
            <w:rFonts w:ascii="Arial" w:hAnsi="Arial" w:cs="Arial"/>
          </w:rPr>
          <w:t>University</w:t>
        </w:r>
      </w:smartTag>
      <w:r w:rsidRPr="007567C4">
        <w:rPr>
          <w:rFonts w:ascii="Arial" w:hAnsi="Arial" w:cs="Arial"/>
        </w:rPr>
        <w:t xml:space="preserve"> of </w:t>
      </w:r>
      <w:smartTag w:uri="urn:schemas-microsoft-com:office:smarttags" w:element="PlaceName">
        <w:r w:rsidRPr="007567C4">
          <w:rPr>
            <w:rFonts w:ascii="Arial" w:hAnsi="Arial" w:cs="Arial"/>
          </w:rPr>
          <w:t>Pennsylvania</w:t>
        </w:r>
      </w:smartTag>
      <w:r w:rsidRPr="007567C4">
        <w:rPr>
          <w:rFonts w:ascii="Arial" w:hAnsi="Arial" w:cs="Arial"/>
        </w:rPr>
        <w:t xml:space="preserve"> and a MEng degree from </w:t>
      </w:r>
      <w:smartTag w:uri="urn:schemas-microsoft-com:office:smarttags" w:element="place">
        <w:smartTag w:uri="urn:schemas-microsoft-com:office:smarttags" w:element="PlaceName">
          <w:r w:rsidRPr="007567C4">
            <w:rPr>
              <w:rFonts w:ascii="Arial" w:hAnsi="Arial" w:cs="Arial"/>
            </w:rPr>
            <w:t>Widener</w:t>
          </w:r>
        </w:smartTag>
        <w:r w:rsidRPr="007567C4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7567C4">
            <w:rPr>
              <w:rFonts w:ascii="Arial" w:hAnsi="Arial" w:cs="Arial"/>
            </w:rPr>
            <w:t>University</w:t>
          </w:r>
        </w:smartTag>
      </w:smartTag>
      <w:r w:rsidRPr="007567C4">
        <w:rPr>
          <w:rFonts w:ascii="Arial" w:hAnsi="Arial" w:cs="Arial"/>
        </w:rPr>
        <w:t>.  Prior to being employed at PJM, he was employed by Exelon for 29 years in a variety of positions in transmission maintenance, construction, system operations, and system planning.</w:t>
      </w:r>
    </w:p>
    <w:p w:rsidR="00FE3C25" w:rsidRDefault="00FE3C25" w:rsidP="00A30D16">
      <w:pPr>
        <w:autoSpaceDE w:val="0"/>
        <w:autoSpaceDN w:val="0"/>
        <w:adjustRightInd w:val="0"/>
        <w:ind w:left="360"/>
        <w:contextualSpacing/>
        <w:jc w:val="both"/>
      </w:pPr>
    </w:p>
    <w:p w:rsidR="00A30D16" w:rsidRDefault="00FE3C25" w:rsidP="00A30D1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567C4"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z w:val="22"/>
        </w:rPr>
        <w:t xml:space="preserve">s. Jane Ann </w:t>
      </w:r>
      <w:proofErr w:type="spellStart"/>
      <w:r>
        <w:rPr>
          <w:rFonts w:ascii="Arial" w:hAnsi="Arial" w:cs="Arial"/>
          <w:b/>
          <w:sz w:val="22"/>
        </w:rPr>
        <w:t>Verner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 w:rsidRPr="00617962">
        <w:rPr>
          <w:rFonts w:ascii="Arial" w:hAnsi="Arial" w:cs="Arial"/>
        </w:rPr>
        <w:t>is the Manager of Pepco’s Grid Operations Center.  She formerly managed Substation Engine</w:t>
      </w:r>
      <w:r w:rsidR="00A30D16">
        <w:rPr>
          <w:rFonts w:ascii="Arial" w:hAnsi="Arial" w:cs="Arial"/>
        </w:rPr>
        <w:t>ering and Substation Standards T</w:t>
      </w:r>
      <w:r w:rsidRPr="00617962">
        <w:rPr>
          <w:rFonts w:ascii="Arial" w:hAnsi="Arial" w:cs="Arial"/>
        </w:rPr>
        <w:t>eams for Pepco Holdings Inc. (Atlantic City</w:t>
      </w:r>
      <w:r w:rsidR="00A30D16">
        <w:rPr>
          <w:rFonts w:ascii="Arial" w:hAnsi="Arial" w:cs="Arial"/>
        </w:rPr>
        <w:t xml:space="preserve"> Electric, Delmarva and Pepco).</w:t>
      </w:r>
      <w:r w:rsidRPr="00617962">
        <w:rPr>
          <w:rFonts w:ascii="Arial" w:hAnsi="Arial" w:cs="Arial"/>
        </w:rPr>
        <w:t xml:space="preserve">  Jane is a licensed Professional Electrical Engineer in Maryland, PA and the </w:t>
      </w:r>
      <w:r w:rsidR="00A30D16">
        <w:rPr>
          <w:rFonts w:ascii="Arial" w:hAnsi="Arial" w:cs="Arial"/>
        </w:rPr>
        <w:t>District of Columbia.  She is a member of IEEE</w:t>
      </w:r>
      <w:r w:rsidRPr="00617962">
        <w:rPr>
          <w:rFonts w:ascii="Arial" w:hAnsi="Arial" w:cs="Arial"/>
        </w:rPr>
        <w:t xml:space="preserve"> and </w:t>
      </w:r>
      <w:r w:rsidR="00A30D16">
        <w:rPr>
          <w:rFonts w:ascii="Arial" w:hAnsi="Arial" w:cs="Arial"/>
        </w:rPr>
        <w:t xml:space="preserve">the </w:t>
      </w:r>
      <w:r w:rsidRPr="00617962">
        <w:rPr>
          <w:rFonts w:ascii="Arial" w:hAnsi="Arial" w:cs="Arial"/>
        </w:rPr>
        <w:t xml:space="preserve">IEEE </w:t>
      </w:r>
      <w:r w:rsidR="00A30D16">
        <w:rPr>
          <w:rFonts w:ascii="Arial" w:hAnsi="Arial" w:cs="Arial"/>
        </w:rPr>
        <w:t>PES</w:t>
      </w:r>
      <w:r w:rsidRPr="00617962">
        <w:rPr>
          <w:rFonts w:ascii="Arial" w:hAnsi="Arial" w:cs="Arial"/>
        </w:rPr>
        <w:t xml:space="preserve">.  She recently chaired the working group of the newly published IEEE Power Transformer Field Test Guide, C57.152.  </w:t>
      </w:r>
      <w:r w:rsidRPr="00F85A2D">
        <w:rPr>
          <w:rFonts w:ascii="Arial" w:hAnsi="Arial" w:cs="Arial"/>
        </w:rPr>
        <w:t>She i</w:t>
      </w:r>
      <w:r w:rsidR="00A30D16">
        <w:rPr>
          <w:rFonts w:ascii="Arial" w:hAnsi="Arial" w:cs="Arial"/>
        </w:rPr>
        <w:t>s presently chairing the IEEE working group, developing the IEEE GIC</w:t>
      </w:r>
      <w:r w:rsidRPr="00F85A2D">
        <w:rPr>
          <w:rFonts w:ascii="Arial" w:hAnsi="Arial" w:cs="Arial"/>
        </w:rPr>
        <w:t xml:space="preserve"> Guide</w:t>
      </w:r>
      <w:r w:rsidR="00A30D16">
        <w:rPr>
          <w:rFonts w:ascii="Arial" w:hAnsi="Arial" w:cs="Arial"/>
        </w:rPr>
        <w:t xml:space="preserve"> for Power Transformers</w:t>
      </w:r>
      <w:r w:rsidRPr="00F85A2D">
        <w:rPr>
          <w:rFonts w:ascii="Arial" w:hAnsi="Arial" w:cs="Arial"/>
        </w:rPr>
        <w:t>.</w:t>
      </w:r>
      <w:r w:rsidR="00C72814">
        <w:rPr>
          <w:rFonts w:ascii="Arial" w:hAnsi="Arial" w:cs="Arial"/>
        </w:rPr>
        <w:t xml:space="preserve"> </w:t>
      </w:r>
      <w:r w:rsidRPr="00FF467F">
        <w:rPr>
          <w:rFonts w:ascii="Arial" w:hAnsi="Arial" w:cs="Arial"/>
        </w:rPr>
        <w:t xml:space="preserve"> Ja</w:t>
      </w:r>
      <w:r w:rsidRPr="00617962">
        <w:rPr>
          <w:rFonts w:ascii="Arial" w:hAnsi="Arial" w:cs="Arial"/>
        </w:rPr>
        <w:t xml:space="preserve">ne has a Bachelor of Science </w:t>
      </w:r>
      <w:r w:rsidR="00C72814">
        <w:rPr>
          <w:rFonts w:ascii="Arial" w:hAnsi="Arial" w:cs="Arial"/>
        </w:rPr>
        <w:t xml:space="preserve">Degree </w:t>
      </w:r>
      <w:r w:rsidRPr="00617962">
        <w:rPr>
          <w:rFonts w:ascii="Arial" w:hAnsi="Arial" w:cs="Arial"/>
        </w:rPr>
        <w:t>in Electrical Engineering from the University of Pittsburgh.</w:t>
      </w:r>
    </w:p>
    <w:p w:rsidR="00A30D16" w:rsidRPr="00A30D16" w:rsidRDefault="00A30D16" w:rsidP="00A30D1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A30D16" w:rsidRPr="00A30D16" w:rsidSect="00001867">
      <w:footerReference w:type="even" r:id="rId11"/>
      <w:footerReference w:type="default" r:id="rId12"/>
      <w:pgSz w:w="12240" w:h="15840" w:code="1"/>
      <w:pgMar w:top="1152" w:right="1152" w:bottom="1440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D4" w:rsidRDefault="00902ED4">
      <w:r>
        <w:separator/>
      </w:r>
    </w:p>
  </w:endnote>
  <w:endnote w:type="continuationSeparator" w:id="0">
    <w:p w:rsidR="00902ED4" w:rsidRDefault="0090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2F" w:rsidRDefault="00DA082F" w:rsidP="009B74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82F" w:rsidRDefault="00DA082F" w:rsidP="008B33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2F" w:rsidRPr="00984933" w:rsidRDefault="00DA082F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p</w:t>
    </w:r>
    <w:r w:rsidRPr="00984933">
      <w:rPr>
        <w:rFonts w:ascii="Arial" w:hAnsi="Arial" w:cs="Arial"/>
        <w:sz w:val="18"/>
        <w:szCs w:val="18"/>
      </w:rPr>
      <w:t>age</w:t>
    </w:r>
    <w:proofErr w:type="gramEnd"/>
    <w:r w:rsidRPr="00984933">
      <w:rPr>
        <w:rFonts w:ascii="Arial" w:hAnsi="Arial" w:cs="Arial"/>
        <w:sz w:val="18"/>
        <w:szCs w:val="18"/>
      </w:rPr>
      <w:t xml:space="preserve"> </w:t>
    </w:r>
    <w:r w:rsidRPr="00984933">
      <w:rPr>
        <w:rFonts w:ascii="Arial" w:hAnsi="Arial" w:cs="Arial"/>
        <w:sz w:val="18"/>
        <w:szCs w:val="18"/>
      </w:rPr>
      <w:fldChar w:fldCharType="begin"/>
    </w:r>
    <w:r w:rsidRPr="00984933">
      <w:rPr>
        <w:rFonts w:ascii="Arial" w:hAnsi="Arial" w:cs="Arial"/>
        <w:sz w:val="18"/>
        <w:szCs w:val="18"/>
      </w:rPr>
      <w:instrText xml:space="preserve"> PAGE </w:instrText>
    </w:r>
    <w:r w:rsidRPr="00984933">
      <w:rPr>
        <w:rFonts w:ascii="Arial" w:hAnsi="Arial" w:cs="Arial"/>
        <w:sz w:val="18"/>
        <w:szCs w:val="18"/>
      </w:rPr>
      <w:fldChar w:fldCharType="separate"/>
    </w:r>
    <w:r w:rsidR="004E5732">
      <w:rPr>
        <w:rFonts w:ascii="Arial" w:hAnsi="Arial" w:cs="Arial"/>
        <w:noProof/>
        <w:sz w:val="18"/>
        <w:szCs w:val="18"/>
      </w:rPr>
      <w:t>1</w:t>
    </w:r>
    <w:r w:rsidRPr="00984933">
      <w:rPr>
        <w:rFonts w:ascii="Arial" w:hAnsi="Arial" w:cs="Arial"/>
        <w:sz w:val="18"/>
        <w:szCs w:val="18"/>
      </w:rPr>
      <w:fldChar w:fldCharType="end"/>
    </w:r>
    <w:r w:rsidRPr="00984933">
      <w:rPr>
        <w:rFonts w:ascii="Arial" w:hAnsi="Arial" w:cs="Arial"/>
        <w:sz w:val="18"/>
        <w:szCs w:val="18"/>
      </w:rPr>
      <w:t xml:space="preserve"> of </w:t>
    </w:r>
    <w:r w:rsidRPr="00984933">
      <w:rPr>
        <w:rFonts w:ascii="Arial" w:hAnsi="Arial" w:cs="Arial"/>
        <w:sz w:val="18"/>
        <w:szCs w:val="18"/>
      </w:rPr>
      <w:fldChar w:fldCharType="begin"/>
    </w:r>
    <w:r w:rsidRPr="00984933">
      <w:rPr>
        <w:rFonts w:ascii="Arial" w:hAnsi="Arial" w:cs="Arial"/>
        <w:sz w:val="18"/>
        <w:szCs w:val="18"/>
      </w:rPr>
      <w:instrText xml:space="preserve"> NUMPAGES  </w:instrText>
    </w:r>
    <w:r w:rsidRPr="00984933">
      <w:rPr>
        <w:rFonts w:ascii="Arial" w:hAnsi="Arial" w:cs="Arial"/>
        <w:sz w:val="18"/>
        <w:szCs w:val="18"/>
      </w:rPr>
      <w:fldChar w:fldCharType="separate"/>
    </w:r>
    <w:r w:rsidR="004E5732">
      <w:rPr>
        <w:rFonts w:ascii="Arial" w:hAnsi="Arial" w:cs="Arial"/>
        <w:noProof/>
        <w:sz w:val="18"/>
        <w:szCs w:val="18"/>
      </w:rPr>
      <w:t>2</w:t>
    </w:r>
    <w:r w:rsidRPr="0098493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D4" w:rsidRDefault="00902ED4">
      <w:r>
        <w:separator/>
      </w:r>
    </w:p>
  </w:footnote>
  <w:footnote w:type="continuationSeparator" w:id="0">
    <w:p w:rsidR="00902ED4" w:rsidRDefault="0090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930C1C"/>
    <w:multiLevelType w:val="hybridMultilevel"/>
    <w:tmpl w:val="739E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042EB"/>
    <w:multiLevelType w:val="hybridMultilevel"/>
    <w:tmpl w:val="EA6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AB1"/>
    <w:multiLevelType w:val="hybridMultilevel"/>
    <w:tmpl w:val="264A4CEE"/>
    <w:lvl w:ilvl="0" w:tplc="FD02B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D2091"/>
    <w:multiLevelType w:val="hybridMultilevel"/>
    <w:tmpl w:val="E6BEBEFA"/>
    <w:lvl w:ilvl="0" w:tplc="E17498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251AA"/>
    <w:multiLevelType w:val="hybridMultilevel"/>
    <w:tmpl w:val="E970F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B54D5"/>
    <w:multiLevelType w:val="hybridMultilevel"/>
    <w:tmpl w:val="C6A8C6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177265"/>
    <w:multiLevelType w:val="hybridMultilevel"/>
    <w:tmpl w:val="2950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44A48"/>
    <w:multiLevelType w:val="hybridMultilevel"/>
    <w:tmpl w:val="C818D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F108A2"/>
    <w:multiLevelType w:val="hybridMultilevel"/>
    <w:tmpl w:val="A0042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EB"/>
    <w:rsid w:val="00001867"/>
    <w:rsid w:val="00001A60"/>
    <w:rsid w:val="00011A54"/>
    <w:rsid w:val="00011E63"/>
    <w:rsid w:val="00015882"/>
    <w:rsid w:val="00022EA5"/>
    <w:rsid w:val="0003488A"/>
    <w:rsid w:val="00035BAF"/>
    <w:rsid w:val="000433B8"/>
    <w:rsid w:val="00046727"/>
    <w:rsid w:val="0005042C"/>
    <w:rsid w:val="000514CB"/>
    <w:rsid w:val="00055126"/>
    <w:rsid w:val="00065F16"/>
    <w:rsid w:val="0008078C"/>
    <w:rsid w:val="0008745D"/>
    <w:rsid w:val="00091C5B"/>
    <w:rsid w:val="000A1D7D"/>
    <w:rsid w:val="000A490A"/>
    <w:rsid w:val="000A71CF"/>
    <w:rsid w:val="000A7830"/>
    <w:rsid w:val="000B1FE9"/>
    <w:rsid w:val="000B7543"/>
    <w:rsid w:val="000C07D0"/>
    <w:rsid w:val="000D1F4C"/>
    <w:rsid w:val="000D6C2B"/>
    <w:rsid w:val="000F11E8"/>
    <w:rsid w:val="000F1D54"/>
    <w:rsid w:val="000F253B"/>
    <w:rsid w:val="0013729A"/>
    <w:rsid w:val="00140654"/>
    <w:rsid w:val="00142C70"/>
    <w:rsid w:val="0015541B"/>
    <w:rsid w:val="001745EB"/>
    <w:rsid w:val="00194A72"/>
    <w:rsid w:val="001A1198"/>
    <w:rsid w:val="001A4EB7"/>
    <w:rsid w:val="001B1C83"/>
    <w:rsid w:val="001B7722"/>
    <w:rsid w:val="001D1751"/>
    <w:rsid w:val="001D60D6"/>
    <w:rsid w:val="001E0897"/>
    <w:rsid w:val="001E1407"/>
    <w:rsid w:val="001E6A0E"/>
    <w:rsid w:val="001F108B"/>
    <w:rsid w:val="001F35D7"/>
    <w:rsid w:val="00207093"/>
    <w:rsid w:val="00207BCB"/>
    <w:rsid w:val="0021433C"/>
    <w:rsid w:val="00220D97"/>
    <w:rsid w:val="002527BA"/>
    <w:rsid w:val="0025289C"/>
    <w:rsid w:val="002608A4"/>
    <w:rsid w:val="002837A1"/>
    <w:rsid w:val="002D296A"/>
    <w:rsid w:val="002D344E"/>
    <w:rsid w:val="002F3309"/>
    <w:rsid w:val="00301A26"/>
    <w:rsid w:val="00302AAF"/>
    <w:rsid w:val="00307ADD"/>
    <w:rsid w:val="0032317F"/>
    <w:rsid w:val="00336AE0"/>
    <w:rsid w:val="003429EF"/>
    <w:rsid w:val="00346B00"/>
    <w:rsid w:val="0035292C"/>
    <w:rsid w:val="00384FAE"/>
    <w:rsid w:val="00390ABB"/>
    <w:rsid w:val="00391EF1"/>
    <w:rsid w:val="003A1863"/>
    <w:rsid w:val="003A718E"/>
    <w:rsid w:val="003B4DEB"/>
    <w:rsid w:val="003B7092"/>
    <w:rsid w:val="003C0841"/>
    <w:rsid w:val="003E310C"/>
    <w:rsid w:val="003E5554"/>
    <w:rsid w:val="003E58E4"/>
    <w:rsid w:val="003F3E4E"/>
    <w:rsid w:val="00407C0E"/>
    <w:rsid w:val="00416353"/>
    <w:rsid w:val="00445DB2"/>
    <w:rsid w:val="00446533"/>
    <w:rsid w:val="00451F5B"/>
    <w:rsid w:val="00454692"/>
    <w:rsid w:val="004679EC"/>
    <w:rsid w:val="0047028E"/>
    <w:rsid w:val="004820C4"/>
    <w:rsid w:val="004821EB"/>
    <w:rsid w:val="004B074C"/>
    <w:rsid w:val="004C7416"/>
    <w:rsid w:val="004C7C5E"/>
    <w:rsid w:val="004D2DCF"/>
    <w:rsid w:val="004E1F34"/>
    <w:rsid w:val="004E5732"/>
    <w:rsid w:val="004F5C42"/>
    <w:rsid w:val="00501371"/>
    <w:rsid w:val="005045EF"/>
    <w:rsid w:val="0052028A"/>
    <w:rsid w:val="00525C2D"/>
    <w:rsid w:val="00530151"/>
    <w:rsid w:val="005306CF"/>
    <w:rsid w:val="00545395"/>
    <w:rsid w:val="00555491"/>
    <w:rsid w:val="005562FB"/>
    <w:rsid w:val="00556887"/>
    <w:rsid w:val="00557517"/>
    <w:rsid w:val="00565CA6"/>
    <w:rsid w:val="005808CA"/>
    <w:rsid w:val="0059098C"/>
    <w:rsid w:val="00594E1B"/>
    <w:rsid w:val="005A0AE3"/>
    <w:rsid w:val="005B0C16"/>
    <w:rsid w:val="005B2872"/>
    <w:rsid w:val="005B3EC3"/>
    <w:rsid w:val="005C7B84"/>
    <w:rsid w:val="005E62DE"/>
    <w:rsid w:val="005F17EF"/>
    <w:rsid w:val="00600200"/>
    <w:rsid w:val="00621483"/>
    <w:rsid w:val="00634378"/>
    <w:rsid w:val="00661E4F"/>
    <w:rsid w:val="006635BC"/>
    <w:rsid w:val="00670899"/>
    <w:rsid w:val="00670AE3"/>
    <w:rsid w:val="006A3661"/>
    <w:rsid w:val="006E15E3"/>
    <w:rsid w:val="006F3616"/>
    <w:rsid w:val="00717351"/>
    <w:rsid w:val="00746B60"/>
    <w:rsid w:val="0075219D"/>
    <w:rsid w:val="00753F9F"/>
    <w:rsid w:val="007849ED"/>
    <w:rsid w:val="00793662"/>
    <w:rsid w:val="007A3F07"/>
    <w:rsid w:val="007A4450"/>
    <w:rsid w:val="007A5CB5"/>
    <w:rsid w:val="007B345C"/>
    <w:rsid w:val="007B5BC8"/>
    <w:rsid w:val="007B683F"/>
    <w:rsid w:val="007C4CC5"/>
    <w:rsid w:val="007D2238"/>
    <w:rsid w:val="00800C34"/>
    <w:rsid w:val="00817721"/>
    <w:rsid w:val="00830A9E"/>
    <w:rsid w:val="00830CB6"/>
    <w:rsid w:val="00835092"/>
    <w:rsid w:val="00844F07"/>
    <w:rsid w:val="0085091D"/>
    <w:rsid w:val="008642B5"/>
    <w:rsid w:val="00872204"/>
    <w:rsid w:val="0089191C"/>
    <w:rsid w:val="00893E7E"/>
    <w:rsid w:val="0089470D"/>
    <w:rsid w:val="00894BA5"/>
    <w:rsid w:val="008953A8"/>
    <w:rsid w:val="008B1DEF"/>
    <w:rsid w:val="008B2194"/>
    <w:rsid w:val="008B33AC"/>
    <w:rsid w:val="008B6BD3"/>
    <w:rsid w:val="008C1666"/>
    <w:rsid w:val="008E01AB"/>
    <w:rsid w:val="008F4DB4"/>
    <w:rsid w:val="00902ED4"/>
    <w:rsid w:val="00911DF4"/>
    <w:rsid w:val="00912E33"/>
    <w:rsid w:val="00915D2B"/>
    <w:rsid w:val="00926FE5"/>
    <w:rsid w:val="00927C5D"/>
    <w:rsid w:val="00931C7F"/>
    <w:rsid w:val="009505E2"/>
    <w:rsid w:val="0095467D"/>
    <w:rsid w:val="00954783"/>
    <w:rsid w:val="00962E37"/>
    <w:rsid w:val="009762F4"/>
    <w:rsid w:val="009817B4"/>
    <w:rsid w:val="00982AE1"/>
    <w:rsid w:val="00984933"/>
    <w:rsid w:val="00986332"/>
    <w:rsid w:val="00990208"/>
    <w:rsid w:val="00993E93"/>
    <w:rsid w:val="009950F3"/>
    <w:rsid w:val="00997ECF"/>
    <w:rsid w:val="009A5A78"/>
    <w:rsid w:val="009A72F5"/>
    <w:rsid w:val="009A77BA"/>
    <w:rsid w:val="009B74F3"/>
    <w:rsid w:val="009C4AAF"/>
    <w:rsid w:val="009D534D"/>
    <w:rsid w:val="009E2897"/>
    <w:rsid w:val="009F2E80"/>
    <w:rsid w:val="009F73F1"/>
    <w:rsid w:val="00A2195B"/>
    <w:rsid w:val="00A21A72"/>
    <w:rsid w:val="00A23442"/>
    <w:rsid w:val="00A30D16"/>
    <w:rsid w:val="00A52529"/>
    <w:rsid w:val="00A53997"/>
    <w:rsid w:val="00A75EBF"/>
    <w:rsid w:val="00A7780B"/>
    <w:rsid w:val="00A77847"/>
    <w:rsid w:val="00A81E5A"/>
    <w:rsid w:val="00A82BCF"/>
    <w:rsid w:val="00AA19FA"/>
    <w:rsid w:val="00AA3130"/>
    <w:rsid w:val="00AB06B2"/>
    <w:rsid w:val="00AC1F5F"/>
    <w:rsid w:val="00AD3B11"/>
    <w:rsid w:val="00AE6F9C"/>
    <w:rsid w:val="00AF1DDD"/>
    <w:rsid w:val="00AF400F"/>
    <w:rsid w:val="00B00BE9"/>
    <w:rsid w:val="00B27C53"/>
    <w:rsid w:val="00B547EE"/>
    <w:rsid w:val="00B618E8"/>
    <w:rsid w:val="00B63273"/>
    <w:rsid w:val="00B8617C"/>
    <w:rsid w:val="00B92165"/>
    <w:rsid w:val="00B971AE"/>
    <w:rsid w:val="00BB004C"/>
    <w:rsid w:val="00BB0CF5"/>
    <w:rsid w:val="00BB1966"/>
    <w:rsid w:val="00BB453E"/>
    <w:rsid w:val="00BB73A8"/>
    <w:rsid w:val="00BB7D6B"/>
    <w:rsid w:val="00BE7CCF"/>
    <w:rsid w:val="00BF1790"/>
    <w:rsid w:val="00C01776"/>
    <w:rsid w:val="00C054BD"/>
    <w:rsid w:val="00C301DC"/>
    <w:rsid w:val="00C33721"/>
    <w:rsid w:val="00C4112F"/>
    <w:rsid w:val="00C540C4"/>
    <w:rsid w:val="00C5660A"/>
    <w:rsid w:val="00C62BA5"/>
    <w:rsid w:val="00C650FD"/>
    <w:rsid w:val="00C72814"/>
    <w:rsid w:val="00C8053F"/>
    <w:rsid w:val="00C805A5"/>
    <w:rsid w:val="00C80618"/>
    <w:rsid w:val="00C83CC5"/>
    <w:rsid w:val="00C877CE"/>
    <w:rsid w:val="00CA25EA"/>
    <w:rsid w:val="00CC13F5"/>
    <w:rsid w:val="00CC499C"/>
    <w:rsid w:val="00CD17DA"/>
    <w:rsid w:val="00CE0F56"/>
    <w:rsid w:val="00CE44A5"/>
    <w:rsid w:val="00CF560A"/>
    <w:rsid w:val="00D016FB"/>
    <w:rsid w:val="00D01871"/>
    <w:rsid w:val="00D04AE9"/>
    <w:rsid w:val="00D07E00"/>
    <w:rsid w:val="00D1349E"/>
    <w:rsid w:val="00D22C6F"/>
    <w:rsid w:val="00D414A8"/>
    <w:rsid w:val="00D4200F"/>
    <w:rsid w:val="00D434CC"/>
    <w:rsid w:val="00D44063"/>
    <w:rsid w:val="00D4721A"/>
    <w:rsid w:val="00D52E5E"/>
    <w:rsid w:val="00D601AB"/>
    <w:rsid w:val="00D82314"/>
    <w:rsid w:val="00D934B8"/>
    <w:rsid w:val="00D95471"/>
    <w:rsid w:val="00DA082F"/>
    <w:rsid w:val="00DA3784"/>
    <w:rsid w:val="00DB1A35"/>
    <w:rsid w:val="00DC2E81"/>
    <w:rsid w:val="00DD5E41"/>
    <w:rsid w:val="00DD704B"/>
    <w:rsid w:val="00DD76D9"/>
    <w:rsid w:val="00DF22D5"/>
    <w:rsid w:val="00DF351C"/>
    <w:rsid w:val="00E06BF9"/>
    <w:rsid w:val="00E1303D"/>
    <w:rsid w:val="00E20802"/>
    <w:rsid w:val="00E240B9"/>
    <w:rsid w:val="00E27EB2"/>
    <w:rsid w:val="00E352D9"/>
    <w:rsid w:val="00E42539"/>
    <w:rsid w:val="00E50DE7"/>
    <w:rsid w:val="00E73EAC"/>
    <w:rsid w:val="00E848D1"/>
    <w:rsid w:val="00E8690F"/>
    <w:rsid w:val="00E944D5"/>
    <w:rsid w:val="00EA0925"/>
    <w:rsid w:val="00EA0C92"/>
    <w:rsid w:val="00EC1B05"/>
    <w:rsid w:val="00EC4C6D"/>
    <w:rsid w:val="00EC6E76"/>
    <w:rsid w:val="00ED6CFD"/>
    <w:rsid w:val="00EF1BD0"/>
    <w:rsid w:val="00EF2300"/>
    <w:rsid w:val="00EF5808"/>
    <w:rsid w:val="00F06101"/>
    <w:rsid w:val="00F10B37"/>
    <w:rsid w:val="00F37EAA"/>
    <w:rsid w:val="00F4037B"/>
    <w:rsid w:val="00F4359E"/>
    <w:rsid w:val="00F501CA"/>
    <w:rsid w:val="00F53737"/>
    <w:rsid w:val="00F836B9"/>
    <w:rsid w:val="00F855E7"/>
    <w:rsid w:val="00F8630A"/>
    <w:rsid w:val="00F951DD"/>
    <w:rsid w:val="00FB0FF3"/>
    <w:rsid w:val="00FB568B"/>
    <w:rsid w:val="00FD56FF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2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BodyText3">
    <w:name w:val="Body Text 3"/>
    <w:basedOn w:val="Normal"/>
    <w:rPr>
      <w:color w:val="000000"/>
    </w:rPr>
  </w:style>
  <w:style w:type="paragraph" w:customStyle="1" w:styleId="paragraph">
    <w:name w:val="paragraph"/>
    <w:basedOn w:val="Normal"/>
    <w:pPr>
      <w:spacing w:before="240"/>
      <w:jc w:val="both"/>
    </w:pPr>
    <w:rPr>
      <w:rFonts w:ascii="Times" w:hAnsi="Time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1C5B"/>
    <w:rPr>
      <w:sz w:val="16"/>
      <w:szCs w:val="16"/>
    </w:rPr>
  </w:style>
  <w:style w:type="paragraph" w:styleId="CommentText">
    <w:name w:val="annotation text"/>
    <w:basedOn w:val="Normal"/>
    <w:semiHidden/>
    <w:rsid w:val="00091C5B"/>
  </w:style>
  <w:style w:type="paragraph" w:styleId="CommentSubject">
    <w:name w:val="annotation subject"/>
    <w:basedOn w:val="CommentText"/>
    <w:next w:val="CommentText"/>
    <w:semiHidden/>
    <w:rsid w:val="00091C5B"/>
    <w:rPr>
      <w:b/>
      <w:bCs/>
    </w:rPr>
  </w:style>
  <w:style w:type="paragraph" w:customStyle="1" w:styleId="Default">
    <w:name w:val="Default"/>
    <w:rsid w:val="00AE6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rsid w:val="00993E93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B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3AC"/>
  </w:style>
  <w:style w:type="paragraph" w:styleId="DocumentMap">
    <w:name w:val="Document Map"/>
    <w:basedOn w:val="Normal"/>
    <w:semiHidden/>
    <w:rsid w:val="000F1D5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E8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690F"/>
  </w:style>
  <w:style w:type="paragraph" w:customStyle="1" w:styleId="Biography">
    <w:name w:val="Biography"/>
    <w:basedOn w:val="PlainText"/>
    <w:rsid w:val="00BB0CF5"/>
    <w:pPr>
      <w:spacing w:before="240"/>
      <w:jc w:val="both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4933"/>
  </w:style>
  <w:style w:type="paragraph" w:styleId="ListParagraph">
    <w:name w:val="List Paragraph"/>
    <w:basedOn w:val="Normal"/>
    <w:qFormat/>
    <w:rsid w:val="00EC1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2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BodyText3">
    <w:name w:val="Body Text 3"/>
    <w:basedOn w:val="Normal"/>
    <w:rPr>
      <w:color w:val="000000"/>
    </w:rPr>
  </w:style>
  <w:style w:type="paragraph" w:customStyle="1" w:styleId="paragraph">
    <w:name w:val="paragraph"/>
    <w:basedOn w:val="Normal"/>
    <w:pPr>
      <w:spacing w:before="240"/>
      <w:jc w:val="both"/>
    </w:pPr>
    <w:rPr>
      <w:rFonts w:ascii="Times" w:hAnsi="Time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1C5B"/>
    <w:rPr>
      <w:sz w:val="16"/>
      <w:szCs w:val="16"/>
    </w:rPr>
  </w:style>
  <w:style w:type="paragraph" w:styleId="CommentText">
    <w:name w:val="annotation text"/>
    <w:basedOn w:val="Normal"/>
    <w:semiHidden/>
    <w:rsid w:val="00091C5B"/>
  </w:style>
  <w:style w:type="paragraph" w:styleId="CommentSubject">
    <w:name w:val="annotation subject"/>
    <w:basedOn w:val="CommentText"/>
    <w:next w:val="CommentText"/>
    <w:semiHidden/>
    <w:rsid w:val="00091C5B"/>
    <w:rPr>
      <w:b/>
      <w:bCs/>
    </w:rPr>
  </w:style>
  <w:style w:type="paragraph" w:customStyle="1" w:styleId="Default">
    <w:name w:val="Default"/>
    <w:rsid w:val="00AE6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rsid w:val="00993E93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B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3AC"/>
  </w:style>
  <w:style w:type="paragraph" w:styleId="DocumentMap">
    <w:name w:val="Document Map"/>
    <w:basedOn w:val="Normal"/>
    <w:semiHidden/>
    <w:rsid w:val="000F1D5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E8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690F"/>
  </w:style>
  <w:style w:type="paragraph" w:customStyle="1" w:styleId="Biography">
    <w:name w:val="Biography"/>
    <w:basedOn w:val="PlainText"/>
    <w:rsid w:val="00BB0CF5"/>
    <w:pPr>
      <w:spacing w:before="240"/>
      <w:jc w:val="both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4933"/>
  </w:style>
  <w:style w:type="paragraph" w:styleId="ListParagraph">
    <w:name w:val="List Paragraph"/>
    <w:basedOn w:val="Normal"/>
    <w:qFormat/>
    <w:rsid w:val="00EC1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47F7-3DA6-4235-9D4A-7F932802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IEEE/PES Transformers Committee</vt:lpstr>
    </vt:vector>
  </TitlesOfParts>
  <Company>IEEE/PES Transformers Committee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IEEE/PES Transformers Committee</dc:title>
  <dc:creator>Greg Anderson</dc:creator>
  <cp:keywords>presentation</cp:keywords>
  <cp:lastModifiedBy>Tammy Behrens</cp:lastModifiedBy>
  <cp:revision>3</cp:revision>
  <cp:lastPrinted>2014-02-10T16:44:00Z</cp:lastPrinted>
  <dcterms:created xsi:type="dcterms:W3CDTF">2014-09-26T22:08:00Z</dcterms:created>
  <dcterms:modified xsi:type="dcterms:W3CDTF">2014-09-26T22:10:00Z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