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EC" w:rsidRDefault="00C56D35">
      <w:pPr>
        <w:pStyle w:val="Title"/>
      </w:pPr>
      <w:bookmarkStart w:id="0" w:name="_GoBack"/>
      <w:bookmarkEnd w:id="0"/>
      <w:r>
        <w:t xml:space="preserve">HVDC Converter Transformers and Smoothing Reactors Subcommittee </w:t>
      </w:r>
    </w:p>
    <w:p w:rsidR="009709EC" w:rsidRDefault="00C56D35">
      <w:pPr>
        <w:pStyle w:val="BodyText"/>
      </w:pPr>
      <w:r>
        <w:rPr>
          <w:color w:val="000000"/>
        </w:rPr>
        <w:t>October 15, 2018, 3.15 pm</w:t>
      </w:r>
    </w:p>
    <w:p w:rsidR="009709EC" w:rsidRDefault="00C56D35">
      <w:pPr>
        <w:pStyle w:val="BodyText"/>
        <w:spacing w:before="0"/>
      </w:pPr>
      <w:r>
        <w:rPr>
          <w:color w:val="000000"/>
        </w:rPr>
        <w:t>Jacksonville, Florida, USA</w:t>
      </w:r>
    </w:p>
    <w:p w:rsidR="009709EC" w:rsidRPr="00E4476A" w:rsidRDefault="00C56D35">
      <w:pPr>
        <w:pStyle w:val="BodyText"/>
      </w:pPr>
      <w:r>
        <w:t>Chair:</w:t>
      </w:r>
      <w:r>
        <w:tab/>
      </w:r>
      <w:r>
        <w:t xml:space="preserve">Michael Sharp </w:t>
      </w:r>
      <w:r>
        <w:br/>
        <w:t>Vice Chair:</w:t>
      </w:r>
      <w:r>
        <w:tab/>
        <w:t>Les Rec</w:t>
      </w:r>
      <w:r>
        <w:t>ksiedler</w:t>
      </w:r>
      <w:r>
        <w:br/>
      </w:r>
      <w:r w:rsidRPr="00E4476A">
        <w:t>Secretary:</w:t>
      </w:r>
      <w:r w:rsidRPr="00E4476A">
        <w:tab/>
        <w:t>Ulf Radbrandt</w:t>
      </w:r>
    </w:p>
    <w:p w:rsidR="009709EC" w:rsidRPr="00E4476A" w:rsidRDefault="00C56D35">
      <w:pPr>
        <w:pStyle w:val="Heading1"/>
      </w:pPr>
      <w:r w:rsidRPr="00E4476A">
        <w:t>Introduction / Attendance</w:t>
      </w:r>
    </w:p>
    <w:p w:rsidR="009709EC" w:rsidRPr="00E4476A" w:rsidRDefault="00C56D35">
      <w:pPr>
        <w:pStyle w:val="Indent1"/>
      </w:pPr>
      <w:r w:rsidRPr="00E4476A">
        <w:t xml:space="preserve">Introductions were made and the </w:t>
      </w:r>
      <w:r w:rsidRPr="00E4476A">
        <w:t>attendance list circulated.</w:t>
      </w:r>
    </w:p>
    <w:p w:rsidR="009709EC" w:rsidRPr="00E4476A" w:rsidRDefault="00C56D35">
      <w:pPr>
        <w:pStyle w:val="Indent1"/>
      </w:pPr>
      <w:r w:rsidRPr="00E4476A">
        <w:t xml:space="preserve">There were </w:t>
      </w:r>
      <w:r w:rsidRPr="00E4476A">
        <w:t>7</w:t>
      </w:r>
      <w:r w:rsidRPr="00E4476A">
        <w:t xml:space="preserve"> members and </w:t>
      </w:r>
      <w:r w:rsidRPr="00E4476A">
        <w:t>14</w:t>
      </w:r>
      <w:r w:rsidRPr="00E4476A">
        <w:t xml:space="preserve"> guests present. </w:t>
      </w:r>
      <w:r w:rsidRPr="00E4476A">
        <w:t>One</w:t>
      </w:r>
      <w:r w:rsidRPr="00E4476A">
        <w:t xml:space="preserve"> new request</w:t>
      </w:r>
      <w:r w:rsidRPr="00E4476A">
        <w:t xml:space="preserve"> for membership w</w:t>
      </w:r>
      <w:r w:rsidRPr="00E4476A">
        <w:t>as</w:t>
      </w:r>
      <w:r w:rsidRPr="00E4476A">
        <w:t xml:space="preserve"> received.</w:t>
      </w:r>
    </w:p>
    <w:p w:rsidR="009709EC" w:rsidRPr="00E4476A" w:rsidRDefault="00C56D35">
      <w:pPr>
        <w:pStyle w:val="Indent1"/>
      </w:pPr>
      <w:r w:rsidRPr="00E4476A">
        <w:t xml:space="preserve">The total membership of the SC is </w:t>
      </w:r>
      <w:r w:rsidRPr="00E4476A">
        <w:t>16</w:t>
      </w:r>
      <w:r w:rsidRPr="00E4476A">
        <w:t>. We needed at least a total of 8 members to be present in order to have a quorum. This was no</w:t>
      </w:r>
      <w:r w:rsidRPr="00E4476A">
        <w:t>t achieved.</w:t>
      </w:r>
    </w:p>
    <w:p w:rsidR="009709EC" w:rsidRPr="00E4476A" w:rsidRDefault="00C56D35">
      <w:pPr>
        <w:pStyle w:val="Indent1"/>
      </w:pPr>
      <w:r w:rsidRPr="00E4476A">
        <w:t>The agenda for this meeting was preliminary approved. It will be circulated among SC members via email for a final approval.</w:t>
      </w:r>
    </w:p>
    <w:p w:rsidR="009709EC" w:rsidRPr="00E4476A" w:rsidRDefault="00C56D35">
      <w:pPr>
        <w:pStyle w:val="Heading1"/>
      </w:pPr>
      <w:r w:rsidRPr="00E4476A">
        <w:t>Approval of the minutes of the March 26, 2018 meeting in Pittsburgh</w:t>
      </w:r>
    </w:p>
    <w:p w:rsidR="009709EC" w:rsidRPr="00E4476A" w:rsidRDefault="00C56D35">
      <w:pPr>
        <w:pStyle w:val="Indent1"/>
      </w:pPr>
      <w:r w:rsidRPr="00E4476A">
        <w:t>The minutes from the Pittsburgh meeting were prelim</w:t>
      </w:r>
      <w:r w:rsidRPr="00E4476A">
        <w:t>inary approved. It will be circulated among SC members via email for a final approval.</w:t>
      </w:r>
    </w:p>
    <w:p w:rsidR="009709EC" w:rsidRPr="00E4476A" w:rsidRDefault="00C56D35">
      <w:pPr>
        <w:pStyle w:val="Heading1"/>
      </w:pPr>
      <w:r w:rsidRPr="00E4476A">
        <w:t>Brief report on the meeting of the Administrative SC by Mike Sharp</w:t>
      </w:r>
    </w:p>
    <w:p w:rsidR="009709EC" w:rsidRPr="00E4476A" w:rsidRDefault="00C56D35">
      <w:pPr>
        <w:pStyle w:val="Indent1"/>
      </w:pPr>
      <w:r w:rsidRPr="00E4476A">
        <w:t>All consultants shall identify who are sponsoring their attendance at the meeting.</w:t>
      </w:r>
    </w:p>
    <w:p w:rsidR="009709EC" w:rsidRPr="00E4476A" w:rsidRDefault="00C56D35">
      <w:pPr>
        <w:pStyle w:val="Indent1"/>
      </w:pPr>
      <w:r w:rsidRPr="00E4476A">
        <w:t xml:space="preserve">SC minutes must be </w:t>
      </w:r>
      <w:r w:rsidRPr="00E4476A">
        <w:t>submitted latest November 29.</w:t>
      </w:r>
    </w:p>
    <w:p w:rsidR="009709EC" w:rsidRPr="00E4476A" w:rsidRDefault="00C56D35">
      <w:pPr>
        <w:pStyle w:val="Indent1"/>
      </w:pPr>
      <w:r w:rsidRPr="00E4476A">
        <w:t>Submission deadline for the last standards board meeting in 2019 is September 1</w:t>
      </w:r>
      <w:r w:rsidRPr="00E4476A">
        <w:t>7.</w:t>
      </w:r>
      <w:r w:rsidRPr="00E4476A">
        <w:t xml:space="preserve"> </w:t>
      </w:r>
    </w:p>
    <w:p w:rsidR="009709EC" w:rsidRPr="00E4476A" w:rsidRDefault="00C56D35">
      <w:pPr>
        <w:pStyle w:val="Indent1"/>
      </w:pPr>
      <w:r w:rsidRPr="00E4476A">
        <w:t xml:space="preserve">The Policies and Procedures document for the Transformers Committee has been </w:t>
      </w:r>
      <w:r w:rsidRPr="00E4476A">
        <w:t xml:space="preserve">revised to </w:t>
      </w:r>
      <w:r w:rsidRPr="00E4476A">
        <w:t>include a section stipulating a maximum five year term for subcommittee leadership</w:t>
      </w:r>
      <w:r w:rsidRPr="00E4476A">
        <w:t xml:space="preserve">. </w:t>
      </w:r>
    </w:p>
    <w:p w:rsidR="009709EC" w:rsidRPr="00E4476A" w:rsidRDefault="00C56D35">
      <w:pPr>
        <w:pStyle w:val="Indent1"/>
      </w:pPr>
      <w:r w:rsidRPr="00E4476A">
        <w:t>SC chairs must ensure that their web pages are kept updated.</w:t>
      </w:r>
    </w:p>
    <w:p w:rsidR="009709EC" w:rsidRPr="00E4476A" w:rsidRDefault="00C56D35">
      <w:pPr>
        <w:pStyle w:val="Heading1"/>
      </w:pPr>
      <w:r w:rsidRPr="00E4476A">
        <w:t>Reminder that IEEE 1277 will expire in 2020.</w:t>
      </w:r>
    </w:p>
    <w:p w:rsidR="009709EC" w:rsidRPr="00E4476A" w:rsidRDefault="00C56D35">
      <w:pPr>
        <w:pStyle w:val="Indent1"/>
      </w:pPr>
      <w:r w:rsidRPr="00E4476A">
        <w:t>The standard for smoothing reactors, IEEE 1277, will expire in 20</w:t>
      </w:r>
      <w:r w:rsidRPr="00E4476A">
        <w:t>20.</w:t>
      </w:r>
    </w:p>
    <w:p w:rsidR="009709EC" w:rsidRPr="00E4476A" w:rsidRDefault="00C56D35">
      <w:pPr>
        <w:pStyle w:val="Heading1"/>
      </w:pPr>
      <w:r w:rsidRPr="00E4476A">
        <w:t>Brief report regarding the CIGRE general meeting in Paris 2018</w:t>
      </w:r>
    </w:p>
    <w:p w:rsidR="009709EC" w:rsidRPr="00E4476A" w:rsidRDefault="00C56D35">
      <w:pPr>
        <w:pStyle w:val="Indent1"/>
      </w:pPr>
      <w:r w:rsidRPr="00E4476A">
        <w:t>Klaus Pointner provided a brief report regarding the CIGRE general meeting in Paris 2018 incl. SC B4. Main topics from that presentations were:</w:t>
      </w:r>
    </w:p>
    <w:p w:rsidR="009709EC" w:rsidRPr="00E4476A" w:rsidRDefault="00C56D35">
      <w:pPr>
        <w:pStyle w:val="Indent1"/>
        <w:numPr>
          <w:ilvl w:val="0"/>
          <w:numId w:val="12"/>
        </w:numPr>
      </w:pPr>
      <w:r w:rsidRPr="00E4476A">
        <w:t>The objective for CIGRE is not to write stand</w:t>
      </w:r>
      <w:r w:rsidRPr="00E4476A">
        <w:t>ards but to solve problems that are not mature for standards yet.</w:t>
      </w:r>
    </w:p>
    <w:p w:rsidR="009709EC" w:rsidRPr="00E4476A" w:rsidRDefault="00C56D35">
      <w:pPr>
        <w:pStyle w:val="Indent1"/>
        <w:numPr>
          <w:ilvl w:val="0"/>
          <w:numId w:val="12"/>
        </w:numPr>
      </w:pPr>
      <w:r w:rsidRPr="00E4476A">
        <w:t>CIGRE provides inputs that can be used for standards</w:t>
      </w:r>
    </w:p>
    <w:p w:rsidR="009709EC" w:rsidRPr="00E4476A" w:rsidRDefault="00C56D35">
      <w:pPr>
        <w:pStyle w:val="Indent1"/>
        <w:numPr>
          <w:ilvl w:val="0"/>
          <w:numId w:val="12"/>
        </w:numPr>
      </w:pPr>
      <w:r w:rsidRPr="00E4476A">
        <w:t>CIGRE aims to also go into Medium Voltage</w:t>
      </w:r>
    </w:p>
    <w:p w:rsidR="009709EC" w:rsidRPr="00E4476A" w:rsidRDefault="00C56D35">
      <w:pPr>
        <w:pStyle w:val="Indent1"/>
        <w:numPr>
          <w:ilvl w:val="0"/>
          <w:numId w:val="12"/>
        </w:numPr>
      </w:pPr>
      <w:r w:rsidRPr="00E4476A">
        <w:lastRenderedPageBreak/>
        <w:t>Main topics this year were</w:t>
      </w:r>
      <w:r w:rsidRPr="00E4476A">
        <w:br/>
        <w:t>- super grids</w:t>
      </w:r>
      <w:r w:rsidRPr="00E4476A">
        <w:br/>
        <w:t>- smart grids</w:t>
      </w:r>
      <w:r w:rsidRPr="00E4476A">
        <w:br/>
        <w:t>- environment and sustainability</w:t>
      </w:r>
      <w:r w:rsidRPr="00E4476A">
        <w:br/>
        <w:t>- therm</w:t>
      </w:r>
      <w:r w:rsidRPr="00E4476A">
        <w:t>al design of transformers</w:t>
      </w:r>
      <w:r w:rsidRPr="00E4476A">
        <w:br/>
        <w:t>- 800kV VSC in China</w:t>
      </w:r>
      <w:r w:rsidRPr="00E4476A">
        <w:br/>
        <w:t>- DC networks</w:t>
      </w:r>
      <w:r w:rsidRPr="00E4476A">
        <w:br/>
        <w:t>- EU project PROMOTION for DC breakers</w:t>
      </w:r>
    </w:p>
    <w:p w:rsidR="009709EC" w:rsidRPr="00E4476A" w:rsidRDefault="00C56D35">
      <w:pPr>
        <w:pStyle w:val="Indent1"/>
        <w:numPr>
          <w:ilvl w:val="0"/>
          <w:numId w:val="12"/>
        </w:numPr>
      </w:pPr>
      <w:r w:rsidRPr="00E4476A">
        <w:t xml:space="preserve">At each meeting there </w:t>
      </w:r>
      <w:r w:rsidRPr="00E4476A">
        <w:t>is</w:t>
      </w:r>
      <w:r w:rsidRPr="00E4476A">
        <w:t xml:space="preserve"> a </w:t>
      </w:r>
      <w:r w:rsidRPr="00E4476A">
        <w:t xml:space="preserve">large </w:t>
      </w:r>
      <w:r w:rsidRPr="00E4476A">
        <w:t>state of the art</w:t>
      </w:r>
      <w:r w:rsidRPr="00E4476A">
        <w:t xml:space="preserve"> technical exhibition</w:t>
      </w:r>
    </w:p>
    <w:p w:rsidR="009709EC" w:rsidRPr="00E4476A" w:rsidRDefault="00C56D35">
      <w:pPr>
        <w:pStyle w:val="Heading1"/>
      </w:pPr>
      <w:r w:rsidRPr="00E4476A">
        <w:t>Working Group Reports</w:t>
      </w:r>
    </w:p>
    <w:p w:rsidR="009709EC" w:rsidRPr="00E4476A" w:rsidRDefault="00C56D35">
      <w:pPr>
        <w:pStyle w:val="Heading2"/>
      </w:pPr>
      <w:r w:rsidRPr="00E4476A">
        <w:t xml:space="preserve">WG IEEE P1277 - Dry-Type and Oil-Immersed </w:t>
      </w:r>
      <w:r w:rsidRPr="00E4476A">
        <w:t>Smoothing Reactors and Dry-Type Converter Reactors</w:t>
      </w:r>
    </w:p>
    <w:p w:rsidR="009709EC" w:rsidRPr="00E4476A" w:rsidRDefault="00C56D35">
      <w:r w:rsidRPr="00E4476A">
        <w:t>Chair:</w:t>
      </w:r>
      <w:r w:rsidRPr="00E4476A">
        <w:tab/>
      </w:r>
      <w:r w:rsidRPr="00E4476A">
        <w:tab/>
        <w:t>Klaus Pointner (klaus.pointner@ieee.org)</w:t>
      </w:r>
    </w:p>
    <w:p w:rsidR="009709EC" w:rsidRPr="00E4476A" w:rsidRDefault="00C56D35">
      <w:r w:rsidRPr="00E4476A">
        <w:t>Vice-Chair:</w:t>
      </w:r>
      <w:r w:rsidRPr="00E4476A">
        <w:tab/>
        <w:t>-</w:t>
      </w:r>
    </w:p>
    <w:p w:rsidR="009709EC" w:rsidRPr="00E4476A" w:rsidRDefault="00C56D35">
      <w:r w:rsidRPr="00E4476A">
        <w:t>Secretary:</w:t>
      </w:r>
      <w:r w:rsidRPr="00E4476A">
        <w:tab/>
        <w:t>Ulf Radbrandt (temporary)</w:t>
      </w:r>
    </w:p>
    <w:p w:rsidR="009709EC" w:rsidRPr="00E4476A" w:rsidRDefault="00C56D35">
      <w:pPr>
        <w:pStyle w:val="Indent1"/>
        <w:rPr>
          <w:b/>
        </w:rPr>
      </w:pPr>
      <w:r w:rsidRPr="00E4476A">
        <w:rPr>
          <w:b/>
        </w:rPr>
        <w:t>E.6.1.1 Introductions and Call for Patents</w:t>
      </w:r>
    </w:p>
    <w:p w:rsidR="009709EC" w:rsidRPr="00E4476A" w:rsidRDefault="00C56D35">
      <w:pPr>
        <w:pStyle w:val="Indent1"/>
      </w:pPr>
      <w:r w:rsidRPr="00E4476A">
        <w:t>This WG meeting was conducted as part of the HVDC SC meeting.</w:t>
      </w:r>
    </w:p>
    <w:p w:rsidR="009709EC" w:rsidRPr="00E4476A" w:rsidRDefault="00C56D35">
      <w:pPr>
        <w:pStyle w:val="Indent1"/>
      </w:pPr>
      <w:r w:rsidRPr="00E4476A">
        <w:t>The WG has different membership than the SC and different rosters. The WG roasters were distributed.</w:t>
      </w:r>
    </w:p>
    <w:p w:rsidR="009709EC" w:rsidRDefault="00C56D35">
      <w:pPr>
        <w:pStyle w:val="Indent1"/>
      </w:pPr>
      <w:r w:rsidRPr="00E4476A">
        <w:t>There were 8 members and 14 gu</w:t>
      </w:r>
      <w:r>
        <w:t xml:space="preserve">ests present. 1 new request for membership </w:t>
      </w:r>
      <w:r>
        <w:t>was</w:t>
      </w:r>
      <w:r>
        <w:t xml:space="preserve"> received.</w:t>
      </w:r>
    </w:p>
    <w:p w:rsidR="009709EC" w:rsidRDefault="00C56D35">
      <w:pPr>
        <w:pStyle w:val="Indent1"/>
      </w:pPr>
      <w:r>
        <w:t>The total membership of the WG is 17. We needed at least a total</w:t>
      </w:r>
      <w:r>
        <w:t xml:space="preserve"> of 9 members to be present in order to have a quorum. This was not achieved.</w:t>
      </w:r>
    </w:p>
    <w:p w:rsidR="009709EC" w:rsidRDefault="00C56D35">
      <w:pPr>
        <w:pStyle w:val="Indent1"/>
      </w:pPr>
      <w:r>
        <w:t>The agenda for this meeting was preliminary approved. It will be circulated among WG members via email for a final approval.</w:t>
      </w:r>
    </w:p>
    <w:p w:rsidR="009709EC" w:rsidRDefault="00C56D35">
      <w:pPr>
        <w:pStyle w:val="Indent1"/>
      </w:pPr>
      <w:r>
        <w:t xml:space="preserve">The minutes from the </w:t>
      </w:r>
      <w:r>
        <w:t>Pitts</w:t>
      </w:r>
      <w:r>
        <w:t>burgh</w:t>
      </w:r>
      <w:r>
        <w:t xml:space="preserve"> meeting wer</w:t>
      </w:r>
      <w:r>
        <w:t>e preliminary approved. It will be circulated among WG members via email for a final approval.</w:t>
      </w:r>
    </w:p>
    <w:p w:rsidR="009709EC" w:rsidRDefault="00C56D35">
      <w:pPr>
        <w:pStyle w:val="Indent1"/>
        <w:rPr>
          <w:b/>
        </w:rPr>
      </w:pPr>
      <w:r>
        <w:rPr>
          <w:b/>
        </w:rPr>
        <w:t>E.6.1.2 Survey of Annexes.</w:t>
      </w:r>
    </w:p>
    <w:p w:rsidR="009709EC" w:rsidRDefault="00C56D35">
      <w:pPr>
        <w:pStyle w:val="Indent1"/>
      </w:pPr>
      <w:r>
        <w:t>The chair, Klaus Pointner did, prior to the meeting, a survey on what to do with the existing Annexes.</w:t>
      </w:r>
    </w:p>
    <w:p w:rsidR="009709EC" w:rsidRDefault="00C56D35">
      <w:pPr>
        <w:pStyle w:val="Indent1"/>
      </w:pPr>
      <w:r>
        <w:t xml:space="preserve">9 members (excl. the WG chair) responded. </w:t>
      </w:r>
    </w:p>
    <w:p w:rsidR="009709EC" w:rsidRDefault="00C56D35">
      <w:pPr>
        <w:rPr>
          <w:rFonts w:cs="Times New Roman"/>
          <w:szCs w:val="22"/>
          <w:u w:val="single"/>
        </w:rPr>
      </w:pPr>
      <w:r>
        <w:rPr>
          <w:u w:val="single"/>
        </w:rPr>
        <w:br w:type="page"/>
      </w:r>
    </w:p>
    <w:p w:rsidR="009709EC" w:rsidRDefault="00C56D35">
      <w:pPr>
        <w:pStyle w:val="Indent1"/>
        <w:rPr>
          <w:u w:val="single"/>
        </w:rPr>
      </w:pPr>
      <w:r>
        <w:rPr>
          <w:u w:val="single"/>
        </w:rPr>
        <w:lastRenderedPageBreak/>
        <w:t>Annex A - Application of HVDC smoothing reactors</w:t>
      </w:r>
    </w:p>
    <w:tbl>
      <w:tblPr>
        <w:tblStyle w:val="TableGrid"/>
        <w:tblW w:w="0" w:type="auto"/>
        <w:tblLook w:val="04A0" w:firstRow="1" w:lastRow="0" w:firstColumn="1" w:lastColumn="0" w:noHBand="0" w:noVBand="1"/>
      </w:tblPr>
      <w:tblGrid>
        <w:gridCol w:w="9576"/>
      </w:tblGrid>
      <w:tr w:rsidR="009709EC">
        <w:tc>
          <w:tcPr>
            <w:tcW w:w="9500" w:type="dxa"/>
          </w:tcPr>
          <w:p w:rsidR="009709EC" w:rsidRDefault="00C56D35">
            <w:pPr>
              <w:pStyle w:val="Indent1"/>
              <w:jc w:val="center"/>
            </w:pPr>
            <w:r>
              <w:rPr>
                <w:noProof/>
                <w:lang w:val="sv-SE" w:eastAsia="sv-SE"/>
              </w:rPr>
              <w:drawing>
                <wp:inline distT="0" distB="0" distL="0" distR="0">
                  <wp:extent cx="5972810" cy="6227445"/>
                  <wp:effectExtent l="0" t="0" r="889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6227445"/>
                          </a:xfrm>
                          <a:prstGeom prst="rect">
                            <a:avLst/>
                          </a:prstGeom>
                        </pic:spPr>
                      </pic:pic>
                    </a:graphicData>
                  </a:graphic>
                </wp:inline>
              </w:drawing>
            </w:r>
          </w:p>
        </w:tc>
      </w:tr>
    </w:tbl>
    <w:p w:rsidR="009709EC" w:rsidRDefault="00C56D35">
      <w:pPr>
        <w:pStyle w:val="Indent1"/>
      </w:pPr>
      <w:r>
        <w:t>Preliminary decision: Delete since it mostly covers system design aspects. Klaus Pointner will check if there is something that we should keep and in that case</w:t>
      </w:r>
      <w:r>
        <w:t xml:space="preserve"> copy it into the main text of the standard.</w:t>
      </w:r>
    </w:p>
    <w:p w:rsidR="009709EC" w:rsidRDefault="00C56D35">
      <w:pPr>
        <w:rPr>
          <w:rFonts w:cs="Times New Roman"/>
          <w:szCs w:val="22"/>
          <w:u w:val="single"/>
        </w:rPr>
      </w:pPr>
      <w:r>
        <w:rPr>
          <w:u w:val="single"/>
        </w:rPr>
        <w:br w:type="page"/>
      </w:r>
    </w:p>
    <w:p w:rsidR="009709EC" w:rsidRDefault="00C56D35">
      <w:pPr>
        <w:pStyle w:val="Indent1"/>
        <w:rPr>
          <w:u w:val="single"/>
        </w:rPr>
      </w:pPr>
      <w:r>
        <w:rPr>
          <w:u w:val="single"/>
        </w:rPr>
        <w:lastRenderedPageBreak/>
        <w:t>Annex B - Construction and installation of dry-type air-core smoothing reactors for HVDC application</w:t>
      </w:r>
    </w:p>
    <w:tbl>
      <w:tblPr>
        <w:tblStyle w:val="TableGrid"/>
        <w:tblW w:w="0" w:type="auto"/>
        <w:tblLook w:val="04A0" w:firstRow="1" w:lastRow="0" w:firstColumn="1" w:lastColumn="0" w:noHBand="0" w:noVBand="1"/>
      </w:tblPr>
      <w:tblGrid>
        <w:gridCol w:w="9576"/>
      </w:tblGrid>
      <w:tr w:rsidR="009709EC">
        <w:tc>
          <w:tcPr>
            <w:tcW w:w="9500" w:type="dxa"/>
          </w:tcPr>
          <w:p w:rsidR="009709EC" w:rsidRDefault="00C56D35">
            <w:pPr>
              <w:pStyle w:val="Indent1"/>
              <w:jc w:val="center"/>
            </w:pPr>
            <w:r>
              <w:rPr>
                <w:noProof/>
                <w:lang w:val="sv-SE" w:eastAsia="sv-SE"/>
              </w:rPr>
              <w:drawing>
                <wp:inline distT="0" distB="0" distL="0" distR="0">
                  <wp:extent cx="6149426" cy="66770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6102" cy="6684274"/>
                          </a:xfrm>
                          <a:prstGeom prst="rect">
                            <a:avLst/>
                          </a:prstGeom>
                        </pic:spPr>
                      </pic:pic>
                    </a:graphicData>
                  </a:graphic>
                </wp:inline>
              </w:drawing>
            </w:r>
          </w:p>
        </w:tc>
      </w:tr>
    </w:tbl>
    <w:p w:rsidR="009709EC" w:rsidRDefault="009709EC">
      <w:pPr>
        <w:pStyle w:val="Indent1"/>
      </w:pPr>
    </w:p>
    <w:p w:rsidR="009709EC" w:rsidRDefault="00C56D35">
      <w:pPr>
        <w:pStyle w:val="Indent1"/>
      </w:pPr>
      <w:r>
        <w:t xml:space="preserve">Preliminary decision: Keep. Volunteers are requested for review. Black spot issues should be addressed. </w:t>
      </w:r>
    </w:p>
    <w:p w:rsidR="009709EC" w:rsidRDefault="00C56D35">
      <w:pPr>
        <w:rPr>
          <w:rFonts w:cs="Times New Roman"/>
          <w:szCs w:val="22"/>
          <w:u w:val="single"/>
        </w:rPr>
      </w:pPr>
      <w:r>
        <w:rPr>
          <w:u w:val="single"/>
        </w:rPr>
        <w:br w:type="page"/>
      </w:r>
    </w:p>
    <w:p w:rsidR="009709EC" w:rsidRDefault="00C56D35">
      <w:pPr>
        <w:pStyle w:val="Indent1"/>
        <w:rPr>
          <w:u w:val="single"/>
        </w:rPr>
      </w:pPr>
      <w:r>
        <w:rPr>
          <w:u w:val="single"/>
        </w:rPr>
        <w:lastRenderedPageBreak/>
        <w:t>Annex C - Short-circuit capability</w:t>
      </w:r>
    </w:p>
    <w:tbl>
      <w:tblPr>
        <w:tblStyle w:val="TableGrid"/>
        <w:tblW w:w="0" w:type="auto"/>
        <w:tblLook w:val="04A0" w:firstRow="1" w:lastRow="0" w:firstColumn="1" w:lastColumn="0" w:noHBand="0" w:noVBand="1"/>
      </w:tblPr>
      <w:tblGrid>
        <w:gridCol w:w="9576"/>
      </w:tblGrid>
      <w:tr w:rsidR="009709EC">
        <w:tc>
          <w:tcPr>
            <w:tcW w:w="9500" w:type="dxa"/>
          </w:tcPr>
          <w:p w:rsidR="009709EC" w:rsidRDefault="00C56D35">
            <w:pPr>
              <w:pStyle w:val="Indent1"/>
              <w:jc w:val="center"/>
            </w:pPr>
            <w:r>
              <w:rPr>
                <w:noProof/>
                <w:lang w:val="sv-SE" w:eastAsia="sv-SE"/>
              </w:rPr>
              <w:drawing>
                <wp:inline distT="0" distB="0" distL="0" distR="0">
                  <wp:extent cx="5979207" cy="6563397"/>
                  <wp:effectExtent l="0" t="0" r="254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84279" cy="6568964"/>
                          </a:xfrm>
                          <a:prstGeom prst="rect">
                            <a:avLst/>
                          </a:prstGeom>
                        </pic:spPr>
                      </pic:pic>
                    </a:graphicData>
                  </a:graphic>
                </wp:inline>
              </w:drawing>
            </w:r>
          </w:p>
        </w:tc>
      </w:tr>
    </w:tbl>
    <w:p w:rsidR="009709EC" w:rsidRDefault="00C56D35">
      <w:pPr>
        <w:pStyle w:val="Indent1"/>
      </w:pPr>
      <w:r>
        <w:t>Preliminary decision: Keep but revised. Draft 5 is updated. WG members can review this Annex now.</w:t>
      </w:r>
    </w:p>
    <w:p w:rsidR="009709EC" w:rsidRDefault="00C56D35">
      <w:pPr>
        <w:rPr>
          <w:rFonts w:cs="Times New Roman"/>
          <w:szCs w:val="22"/>
          <w:u w:val="single"/>
        </w:rPr>
      </w:pPr>
      <w:r>
        <w:rPr>
          <w:u w:val="single"/>
        </w:rPr>
        <w:br w:type="page"/>
      </w:r>
    </w:p>
    <w:p w:rsidR="009709EC" w:rsidRDefault="00C56D35">
      <w:pPr>
        <w:pStyle w:val="Indent1"/>
        <w:rPr>
          <w:u w:val="single"/>
        </w:rPr>
      </w:pPr>
      <w:r>
        <w:rPr>
          <w:u w:val="single"/>
        </w:rPr>
        <w:lastRenderedPageBreak/>
        <w:t>Annex D - In-service overloading of HVDC smoothing reactors</w:t>
      </w:r>
    </w:p>
    <w:tbl>
      <w:tblPr>
        <w:tblStyle w:val="TableGrid"/>
        <w:tblW w:w="0" w:type="auto"/>
        <w:tblLook w:val="04A0" w:firstRow="1" w:lastRow="0" w:firstColumn="1" w:lastColumn="0" w:noHBand="0" w:noVBand="1"/>
      </w:tblPr>
      <w:tblGrid>
        <w:gridCol w:w="9516"/>
      </w:tblGrid>
      <w:tr w:rsidR="009709EC">
        <w:tc>
          <w:tcPr>
            <w:tcW w:w="9500" w:type="dxa"/>
          </w:tcPr>
          <w:p w:rsidR="009709EC" w:rsidRDefault="00C56D35">
            <w:pPr>
              <w:pStyle w:val="Indent1"/>
              <w:jc w:val="center"/>
            </w:pPr>
            <w:r>
              <w:rPr>
                <w:noProof/>
                <w:lang w:val="sv-SE" w:eastAsia="sv-SE"/>
              </w:rPr>
              <w:drawing>
                <wp:inline distT="0" distB="0" distL="0" distR="0">
                  <wp:extent cx="5898722" cy="657225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3821" cy="6577932"/>
                          </a:xfrm>
                          <a:prstGeom prst="rect">
                            <a:avLst/>
                          </a:prstGeom>
                        </pic:spPr>
                      </pic:pic>
                    </a:graphicData>
                  </a:graphic>
                </wp:inline>
              </w:drawing>
            </w:r>
          </w:p>
        </w:tc>
      </w:tr>
    </w:tbl>
    <w:p w:rsidR="009709EC" w:rsidRDefault="00C56D35">
      <w:pPr>
        <w:pStyle w:val="Indent1"/>
      </w:pPr>
      <w:r>
        <w:t>Preliminary decision: Keep but reduce the content. O</w:t>
      </w:r>
      <w:r>
        <w:t>verload is often a very important topic for an HVDC project. The examples are good to show end users typical kind of overloads.</w:t>
      </w:r>
    </w:p>
    <w:p w:rsidR="009709EC" w:rsidRDefault="00C56D35">
      <w:pPr>
        <w:rPr>
          <w:rFonts w:cs="Times New Roman"/>
          <w:szCs w:val="22"/>
          <w:u w:val="single"/>
        </w:rPr>
      </w:pPr>
      <w:r>
        <w:rPr>
          <w:u w:val="single"/>
        </w:rPr>
        <w:br w:type="page"/>
      </w:r>
    </w:p>
    <w:p w:rsidR="009709EC" w:rsidRDefault="00C56D35">
      <w:pPr>
        <w:pStyle w:val="Indent1"/>
        <w:rPr>
          <w:u w:val="single"/>
        </w:rPr>
      </w:pPr>
      <w:r>
        <w:rPr>
          <w:u w:val="single"/>
        </w:rPr>
        <w:lastRenderedPageBreak/>
        <w:t>Annex E - Smoothing reactors used in voltage source converters (VSC) HVDC schemes</w:t>
      </w:r>
    </w:p>
    <w:tbl>
      <w:tblPr>
        <w:tblStyle w:val="TableGrid"/>
        <w:tblW w:w="0" w:type="auto"/>
        <w:tblLook w:val="04A0" w:firstRow="1" w:lastRow="0" w:firstColumn="1" w:lastColumn="0" w:noHBand="0" w:noVBand="1"/>
      </w:tblPr>
      <w:tblGrid>
        <w:gridCol w:w="9500"/>
      </w:tblGrid>
      <w:tr w:rsidR="009709EC">
        <w:tc>
          <w:tcPr>
            <w:tcW w:w="9500" w:type="dxa"/>
          </w:tcPr>
          <w:p w:rsidR="009709EC" w:rsidRDefault="00C56D35">
            <w:pPr>
              <w:pStyle w:val="Indent1"/>
              <w:jc w:val="center"/>
            </w:pPr>
            <w:r>
              <w:rPr>
                <w:noProof/>
                <w:lang w:val="sv-SE" w:eastAsia="sv-SE"/>
              </w:rPr>
              <w:drawing>
                <wp:inline distT="0" distB="0" distL="0" distR="0">
                  <wp:extent cx="5891254" cy="64674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97072" cy="6473862"/>
                          </a:xfrm>
                          <a:prstGeom prst="rect">
                            <a:avLst/>
                          </a:prstGeom>
                        </pic:spPr>
                      </pic:pic>
                    </a:graphicData>
                  </a:graphic>
                </wp:inline>
              </w:drawing>
            </w:r>
          </w:p>
        </w:tc>
      </w:tr>
    </w:tbl>
    <w:p w:rsidR="009709EC" w:rsidRDefault="00C56D35">
      <w:pPr>
        <w:pStyle w:val="Indent1"/>
      </w:pPr>
      <w:r>
        <w:t xml:space="preserve">Preliminary decision: Delete. Smoothing reactors for VSC are handled in the same way as smoothing reactors for LCC. </w:t>
      </w:r>
    </w:p>
    <w:p w:rsidR="009709EC" w:rsidRDefault="00C56D35">
      <w:pPr>
        <w:rPr>
          <w:rFonts w:cs="Times New Roman"/>
          <w:szCs w:val="22"/>
          <w:u w:val="single"/>
        </w:rPr>
      </w:pPr>
      <w:r>
        <w:rPr>
          <w:u w:val="single"/>
        </w:rPr>
        <w:br w:type="page"/>
      </w:r>
    </w:p>
    <w:p w:rsidR="009709EC" w:rsidRDefault="00C56D35">
      <w:pPr>
        <w:pStyle w:val="Indent1"/>
        <w:rPr>
          <w:u w:val="single"/>
        </w:rPr>
      </w:pPr>
      <w:r>
        <w:rPr>
          <w:u w:val="single"/>
        </w:rPr>
        <w:lastRenderedPageBreak/>
        <w:t>Annex F - Smoothing reactors for 800 kV ultra high voltage direct current</w:t>
      </w:r>
    </w:p>
    <w:tbl>
      <w:tblPr>
        <w:tblStyle w:val="TableGrid"/>
        <w:tblW w:w="0" w:type="auto"/>
        <w:tblLook w:val="04A0" w:firstRow="1" w:lastRow="0" w:firstColumn="1" w:lastColumn="0" w:noHBand="0" w:noVBand="1"/>
      </w:tblPr>
      <w:tblGrid>
        <w:gridCol w:w="9527"/>
      </w:tblGrid>
      <w:tr w:rsidR="009709EC">
        <w:tc>
          <w:tcPr>
            <w:tcW w:w="9500" w:type="dxa"/>
          </w:tcPr>
          <w:p w:rsidR="009709EC" w:rsidRDefault="00C56D35">
            <w:pPr>
              <w:pStyle w:val="Indent1"/>
            </w:pPr>
            <w:r>
              <w:rPr>
                <w:noProof/>
                <w:lang w:val="sv-SE" w:eastAsia="sv-SE"/>
              </w:rPr>
              <w:drawing>
                <wp:inline distT="0" distB="0" distL="0" distR="0">
                  <wp:extent cx="5913082" cy="59721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19123" cy="5978276"/>
                          </a:xfrm>
                          <a:prstGeom prst="rect">
                            <a:avLst/>
                          </a:prstGeom>
                        </pic:spPr>
                      </pic:pic>
                    </a:graphicData>
                  </a:graphic>
                </wp:inline>
              </w:drawing>
            </w:r>
          </w:p>
        </w:tc>
      </w:tr>
    </w:tbl>
    <w:p w:rsidR="009709EC" w:rsidRDefault="00C56D35">
      <w:pPr>
        <w:pStyle w:val="Indent1"/>
      </w:pPr>
      <w:r>
        <w:t>Preliminary decision: Delete. 800kV is now an established vo</w:t>
      </w:r>
      <w:r>
        <w:t>ltage level for HVDC and the reactors are specified and tested in the same way as for reactors for lower voltages. The main text will cover ultra high voltage direct current.</w:t>
      </w:r>
    </w:p>
    <w:p w:rsidR="009709EC" w:rsidRDefault="00C56D35">
      <w:pPr>
        <w:pStyle w:val="Indent1"/>
      </w:pPr>
      <w:r>
        <w:t>E6.1.3 Discussion of Input received from Pierre Riffon, Waldemar Ziomek and Klaus</w:t>
      </w:r>
      <w:r>
        <w:t xml:space="preserve"> Papp</w:t>
      </w:r>
    </w:p>
    <w:p w:rsidR="009709EC" w:rsidRDefault="00C56D35">
      <w:pPr>
        <w:pStyle w:val="Indent1"/>
      </w:pPr>
      <w:r>
        <w:t xml:space="preserve">Dielectric correction factors due to unusual high ambient temperatures (above 40 </w:t>
      </w:r>
      <w:r>
        <w:sym w:font="Symbol" w:char="F0B0"/>
      </w:r>
      <w:r>
        <w:t>C) are available in IEEE Std 4. These corrections might be covered by insulation margins according to IEC 60071-5. That information is seldom transferred to the manufac</w:t>
      </w:r>
      <w:r>
        <w:t>turers though. Klaus Pointner will dig into this.</w:t>
      </w:r>
    </w:p>
    <w:p w:rsidR="009709EC" w:rsidRDefault="00C56D35">
      <w:pPr>
        <w:pStyle w:val="Indent1"/>
      </w:pPr>
      <w:r>
        <w:t>A note in clause 10.5 “Temperature rise of terminals” about possible higher allowed temperatures for terminals will be deleted.</w:t>
      </w:r>
    </w:p>
    <w:p w:rsidR="009709EC" w:rsidRDefault="00C56D35">
      <w:pPr>
        <w:pStyle w:val="Indent1"/>
      </w:pPr>
      <w:r>
        <w:lastRenderedPageBreak/>
        <w:t>Clause 11.1.3 “Switching impulse tests” 2</w:t>
      </w:r>
      <w:r>
        <w:rPr>
          <w:vertAlign w:val="superscript"/>
        </w:rPr>
        <w:t>nd</w:t>
      </w:r>
      <w:r>
        <w:t xml:space="preserve"> paragraph should be modified with </w:t>
      </w:r>
      <w:r>
        <w:t>information about difficulties to get desired wave shape.</w:t>
      </w:r>
    </w:p>
    <w:p w:rsidR="009709EC" w:rsidRDefault="00C56D35">
      <w:pPr>
        <w:pStyle w:val="Indent1"/>
      </w:pPr>
      <w:r>
        <w:t>Clause 11.3 “DC polarity-reversal test with partial discharge measurements for oil-immersed smoothing reactors” should be updated with the extended test with longer times according to the new conver</w:t>
      </w:r>
      <w:r>
        <w:t>ter transformer standard.</w:t>
      </w:r>
    </w:p>
    <w:p w:rsidR="009709EC" w:rsidRDefault="00C56D35">
      <w:pPr>
        <w:pStyle w:val="Indent1"/>
      </w:pPr>
      <w:r>
        <w:t xml:space="preserve">In the case of converter reactors that carry significant </w:t>
      </w:r>
      <w:r>
        <w:t>DC and AC currents a consensus was reached that</w:t>
      </w:r>
      <w:r>
        <w:t xml:space="preserve"> AC current should be used for heat run tests </w:t>
      </w:r>
      <w:r>
        <w:t xml:space="preserve">since </w:t>
      </w:r>
      <w:r>
        <w:t>it</w:t>
      </w:r>
      <w:r>
        <w:t xml:space="preserve"> is more severe</w:t>
      </w:r>
      <w:r>
        <w:t xml:space="preserve"> test condition</w:t>
      </w:r>
      <w:r>
        <w:t>, e.g. due to heating of structural parts due to eddy currents. The current distribution is different for DC current. The current sharing and the temperature rise for DC current should be calculated and included in a design report. The heat run test should</w:t>
      </w:r>
      <w:r>
        <w:t xml:space="preserve"> as often as possible be performed indoor because </w:t>
      </w:r>
      <w:r>
        <w:t>small winds can lower the temperatures with several K.</w:t>
      </w:r>
    </w:p>
    <w:p w:rsidR="009709EC" w:rsidRDefault="00C56D35">
      <w:pPr>
        <w:pStyle w:val="Indent1"/>
      </w:pPr>
      <w:r>
        <w:t>Waldemar Ziomek has investigate</w:t>
      </w:r>
      <w:r>
        <w:t>d</w:t>
      </w:r>
      <w:r>
        <w:t xml:space="preserve"> the need for chopped impulse tests for the reactors in this standard. He concluded that the chopped test is not n</w:t>
      </w:r>
      <w:r>
        <w:t>ecessary in modern stations with modern surge arresters. Pierre Riffon pointed out that the test still can be valid if the surge arresters are not located very close to the reactor and there is an earth fault along a post insulator near the reactor. Choppe</w:t>
      </w:r>
      <w:r>
        <w:t>d impulse is now an optional test and it can remain as that.</w:t>
      </w:r>
    </w:p>
    <w:p w:rsidR="009709EC" w:rsidRDefault="00C56D35">
      <w:pPr>
        <w:pStyle w:val="Indent1"/>
      </w:pPr>
      <w:r>
        <w:t xml:space="preserve">Klaus Pointner would like to have new comments on Draft 5. The intention is to have Draft 6 ready in December and have a survey of the main text among WG members. A final draft including updated </w:t>
      </w:r>
      <w:r>
        <w:t xml:space="preserve">Annexes should be ready </w:t>
      </w:r>
      <w:r>
        <w:t>for</w:t>
      </w:r>
      <w:r>
        <w:t xml:space="preserve"> the 2019 spring meeting.</w:t>
      </w:r>
    </w:p>
    <w:p w:rsidR="009709EC" w:rsidRDefault="00C56D35">
      <w:pPr>
        <w:pStyle w:val="Indent1"/>
        <w:rPr>
          <w:b/>
        </w:rPr>
      </w:pPr>
      <w:r>
        <w:rPr>
          <w:b/>
        </w:rPr>
        <w:t>E.6.1.3 Other</w:t>
      </w:r>
    </w:p>
    <w:p w:rsidR="009709EC" w:rsidRDefault="00C56D35">
      <w:pPr>
        <w:pStyle w:val="Indent1"/>
      </w:pPr>
      <w:r>
        <w:t>Klaus Pointner will distribute draft 6 in two versions:</w:t>
      </w:r>
    </w:p>
    <w:p w:rsidR="009709EC" w:rsidRDefault="00C56D35">
      <w:pPr>
        <w:pStyle w:val="Indent1"/>
        <w:numPr>
          <w:ilvl w:val="0"/>
          <w:numId w:val="13"/>
        </w:numPr>
      </w:pPr>
      <w:r>
        <w:t>One with track changes</w:t>
      </w:r>
    </w:p>
    <w:p w:rsidR="009709EC" w:rsidRDefault="00C56D35">
      <w:pPr>
        <w:pStyle w:val="Indent1"/>
        <w:numPr>
          <w:ilvl w:val="0"/>
          <w:numId w:val="13"/>
        </w:numPr>
      </w:pPr>
      <w:r>
        <w:t>One clean because that is easier to read</w:t>
      </w:r>
    </w:p>
    <w:p w:rsidR="009709EC" w:rsidRDefault="00C56D35">
      <w:pPr>
        <w:pStyle w:val="Indent1"/>
        <w:rPr>
          <w:b/>
        </w:rPr>
      </w:pPr>
      <w:r>
        <w:rPr>
          <w:b/>
        </w:rPr>
        <w:t>E.4.2.4 New Business</w:t>
      </w:r>
    </w:p>
    <w:p w:rsidR="009709EC" w:rsidRDefault="00C56D35">
      <w:pPr>
        <w:pStyle w:val="ListParagraph"/>
        <w:numPr>
          <w:ilvl w:val="0"/>
          <w:numId w:val="10"/>
        </w:numPr>
      </w:pPr>
      <w:r>
        <w:t>There was no new business</w:t>
      </w:r>
    </w:p>
    <w:p w:rsidR="009709EC" w:rsidRDefault="00C56D35">
      <w:pPr>
        <w:pStyle w:val="Indent1"/>
        <w:rPr>
          <w:b/>
        </w:rPr>
      </w:pPr>
      <w:r>
        <w:rPr>
          <w:b/>
        </w:rPr>
        <w:t>E.4.2.5. Adjournment</w:t>
      </w:r>
    </w:p>
    <w:p w:rsidR="009709EC" w:rsidRDefault="00C56D35">
      <w:pPr>
        <w:pStyle w:val="Indent1"/>
      </w:pPr>
      <w:r>
        <w:t xml:space="preserve">The WG meeting was adjourned and the SC chair, Mike Sharp, took over with the SC meeting. </w:t>
      </w:r>
    </w:p>
    <w:p w:rsidR="009709EC" w:rsidRDefault="00C56D35">
      <w:pPr>
        <w:pStyle w:val="Heading1"/>
      </w:pPr>
      <w:r>
        <w:t>Old Business</w:t>
      </w:r>
    </w:p>
    <w:p w:rsidR="009709EC" w:rsidRDefault="00C56D35">
      <w:pPr>
        <w:pStyle w:val="ListParagraph"/>
        <w:numPr>
          <w:ilvl w:val="0"/>
          <w:numId w:val="11"/>
        </w:numPr>
      </w:pPr>
      <w:r>
        <w:t>There was no old business</w:t>
      </w:r>
    </w:p>
    <w:p w:rsidR="009709EC" w:rsidRDefault="00C56D35">
      <w:pPr>
        <w:pStyle w:val="Heading1"/>
      </w:pPr>
      <w:r>
        <w:t>New Business</w:t>
      </w:r>
    </w:p>
    <w:p w:rsidR="009709EC" w:rsidRDefault="00C56D35">
      <w:pPr>
        <w:pStyle w:val="ListParagraph"/>
        <w:numPr>
          <w:ilvl w:val="0"/>
          <w:numId w:val="10"/>
        </w:numPr>
      </w:pPr>
      <w:r>
        <w:t>There was no new business</w:t>
      </w:r>
    </w:p>
    <w:p w:rsidR="009709EC" w:rsidRDefault="00C56D35">
      <w:pPr>
        <w:pStyle w:val="Heading1"/>
      </w:pPr>
      <w:r>
        <w:t>Adjournment</w:t>
      </w:r>
    </w:p>
    <w:p w:rsidR="009709EC" w:rsidRDefault="00C56D35">
      <w:pPr>
        <w:pStyle w:val="Indent1"/>
        <w:rPr>
          <w:color w:val="000000"/>
          <w:sz w:val="24"/>
          <w:szCs w:val="24"/>
        </w:rPr>
      </w:pPr>
      <w:r>
        <w:t>The meeting was adjourned at 4:20 pm.</w:t>
      </w:r>
    </w:p>
    <w:sectPr w:rsidR="009709EC">
      <w:headerReference w:type="default" r:id="rId14"/>
      <w:footerReference w:type="default" r:id="rId15"/>
      <w:footerReference w:type="first" r:id="rId1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35" w:rsidRDefault="00C56D35">
      <w:r>
        <w:separator/>
      </w:r>
    </w:p>
  </w:endnote>
  <w:endnote w:type="continuationSeparator" w:id="0">
    <w:p w:rsidR="00C56D35" w:rsidRDefault="00C5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EC" w:rsidRDefault="00C56D3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4476A">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4476A">
      <w:rPr>
        <w:b/>
        <w:noProof/>
      </w:rPr>
      <w:t>9</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EC" w:rsidRDefault="00C56D3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4476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4476A">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35" w:rsidRDefault="00C56D35">
      <w:r>
        <w:separator/>
      </w:r>
    </w:p>
  </w:footnote>
  <w:footnote w:type="continuationSeparator" w:id="0">
    <w:p w:rsidR="00C56D35" w:rsidRDefault="00C56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9EC" w:rsidRDefault="00C56D35">
    <w:pPr>
      <w:pStyle w:val="Header"/>
      <w:jc w:val="right"/>
      <w:rPr>
        <w:b/>
      </w:rPr>
    </w:pPr>
    <w:r>
      <w:rPr>
        <w:b/>
      </w:rPr>
      <w:t>Annex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FFF"/>
    <w:multiLevelType w:val="hybridMultilevel"/>
    <w:tmpl w:val="9E86ED2C"/>
    <w:lvl w:ilvl="0" w:tplc="F3CA0E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2C6374"/>
    <w:multiLevelType w:val="hybridMultilevel"/>
    <w:tmpl w:val="2298A632"/>
    <w:lvl w:ilvl="0" w:tplc="8D0200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1A08D9"/>
    <w:multiLevelType w:val="hybridMultilevel"/>
    <w:tmpl w:val="58426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C66A37"/>
    <w:multiLevelType w:val="hybridMultilevel"/>
    <w:tmpl w:val="E7426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A84F38"/>
    <w:multiLevelType w:val="hybridMultilevel"/>
    <w:tmpl w:val="DA069C5A"/>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2C1C1C"/>
    <w:multiLevelType w:val="hybridMultilevel"/>
    <w:tmpl w:val="0CC2D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E3073F"/>
    <w:multiLevelType w:val="hybridMultilevel"/>
    <w:tmpl w:val="69C67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1D6B32"/>
    <w:multiLevelType w:val="hybridMultilevel"/>
    <w:tmpl w:val="3F528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B902EB"/>
    <w:multiLevelType w:val="multilevel"/>
    <w:tmpl w:val="C7744D2A"/>
    <w:lvl w:ilvl="0">
      <w:start w:val="5"/>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9" w15:restartNumberingAfterBreak="0">
    <w:nsid w:val="6AA6288F"/>
    <w:multiLevelType w:val="hybridMultilevel"/>
    <w:tmpl w:val="62A276A6"/>
    <w:lvl w:ilvl="0" w:tplc="C4D4B23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8715C"/>
    <w:multiLevelType w:val="hybridMultilevel"/>
    <w:tmpl w:val="52E242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0CF7FD4"/>
    <w:multiLevelType w:val="hybridMultilevel"/>
    <w:tmpl w:val="8806E966"/>
    <w:lvl w:ilvl="0" w:tplc="1C58D212">
      <w:start w:val="93"/>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12"/>
  </w:num>
  <w:num w:numId="3">
    <w:abstractNumId w:val="7"/>
  </w:num>
  <w:num w:numId="4">
    <w:abstractNumId w:val="0"/>
  </w:num>
  <w:num w:numId="5">
    <w:abstractNumId w:val="6"/>
  </w:num>
  <w:num w:numId="6">
    <w:abstractNumId w:val="4"/>
  </w:num>
  <w:num w:numId="7">
    <w:abstractNumId w:val="11"/>
  </w:num>
  <w:num w:numId="8">
    <w:abstractNumId w:val="3"/>
  </w:num>
  <w:num w:numId="9">
    <w:abstractNumId w:val="5"/>
  </w:num>
  <w:num w:numId="10">
    <w:abstractNumId w:val="9"/>
  </w:num>
  <w:num w:numId="11">
    <w:abstractNumId w:val="1"/>
  </w:num>
  <w:num w:numId="12">
    <w:abstractNumId w:val="2"/>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EC"/>
    <w:rsid w:val="009709EC"/>
    <w:rsid w:val="00C56D35"/>
    <w:rsid w:val="00E4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FA4F4A-6A75-4E74-8844-B842D83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2"/>
    </w:rPr>
  </w:style>
  <w:style w:type="paragraph" w:styleId="Heading1">
    <w:name w:val="heading 1"/>
    <w:basedOn w:val="Normal"/>
    <w:next w:val="Normal"/>
    <w:link w:val="Heading1Char"/>
    <w:qFormat/>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pPr>
      <w:spacing w:before="120"/>
      <w:ind w:left="540"/>
    </w:pPr>
    <w:rPr>
      <w:szCs w:val="22"/>
    </w:rPr>
  </w:style>
  <w:style w:type="paragraph" w:styleId="Title">
    <w:name w:val="Title"/>
    <w:basedOn w:val="Normal"/>
    <w:next w:val="Normal"/>
    <w:link w:val="TitleChar"/>
    <w:uiPriority w:val="99"/>
    <w:qFormat/>
    <w:pPr>
      <w:numPr>
        <w:numId w:val="1"/>
      </w:numPr>
      <w:contextualSpacing/>
    </w:pPr>
    <w:rPr>
      <w:rFonts w:cs="Times New Roman"/>
      <w:b/>
      <w:spacing w:val="5"/>
      <w:kern w:val="28"/>
      <w:sz w:val="28"/>
      <w:szCs w:val="28"/>
    </w:rPr>
  </w:style>
  <w:style w:type="character" w:customStyle="1" w:styleId="TitleChar">
    <w:name w:val="Title Char"/>
    <w:link w:val="Title"/>
    <w:uiPriority w:val="99"/>
    <w:rPr>
      <w:b/>
      <w:spacing w:val="5"/>
      <w:kern w:val="28"/>
      <w:sz w:val="28"/>
      <w:szCs w:val="2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Indent1">
    <w:name w:val="Indent 1"/>
    <w:basedOn w:val="Normal"/>
    <w:link w:val="Indent1Char"/>
    <w:pPr>
      <w:spacing w:before="240"/>
    </w:pPr>
    <w:rPr>
      <w:rFonts w:cs="Times New Roman"/>
      <w:szCs w:val="22"/>
    </w:rPr>
  </w:style>
  <w:style w:type="character" w:customStyle="1" w:styleId="Indent1Char">
    <w:name w:val="Indent 1 Char"/>
    <w:link w:val="Indent1"/>
    <w:rPr>
      <w:sz w:val="22"/>
      <w:szCs w:val="22"/>
      <w:lang w:val="en-US" w:eastAsia="en-US" w:bidi="ar-SA"/>
    </w:rPr>
  </w:style>
  <w:style w:type="paragraph" w:styleId="BodyText">
    <w:name w:val="Body Text"/>
    <w:basedOn w:val="Indent1"/>
    <w:pPr>
      <w:keepNext/>
    </w:pPr>
    <w:rPr>
      <w:b/>
    </w:rPr>
  </w:style>
  <w:style w:type="character" w:customStyle="1" w:styleId="Heading1Char">
    <w:name w:val="Heading 1 Char"/>
    <w:link w:val="Heading1"/>
    <w:rPr>
      <w:b/>
      <w:bCs/>
      <w:kern w:val="32"/>
      <w:sz w:val="22"/>
      <w:szCs w:val="22"/>
    </w:rPr>
  </w:style>
  <w:style w:type="paragraph" w:customStyle="1" w:styleId="Header1">
    <w:name w:val="Header1"/>
    <w:basedOn w:val="Title"/>
  </w:style>
  <w:style w:type="paragraph" w:customStyle="1" w:styleId="Indent2">
    <w:name w:val="Indent 2"/>
    <w:basedOn w:val="Indent1"/>
    <w:link w:val="Indent2Char"/>
    <w:pPr>
      <w:ind w:left="180"/>
    </w:pPr>
  </w:style>
  <w:style w:type="character" w:customStyle="1" w:styleId="Indent2Char">
    <w:name w:val="Indent 2 Char"/>
    <w:link w:val="Indent2"/>
    <w:rPr>
      <w:sz w:val="22"/>
      <w:szCs w:val="22"/>
      <w:lang w:val="en-US" w:eastAsia="en-US" w:bidi="ar-SA"/>
    </w:rPr>
  </w:style>
  <w:style w:type="character" w:customStyle="1" w:styleId="FooterChar">
    <w:name w:val="Footer Char"/>
    <w:link w:val="Footer"/>
    <w:rPr>
      <w:rFonts w:ascii="Arial" w:hAnsi="Arial" w:cs="Arial"/>
      <w:sz w:val="22"/>
      <w:lang w:val="en-US" w:eastAsia="en-US" w:bidi="ar-SA"/>
    </w:rPr>
  </w:style>
  <w:style w:type="paragraph" w:customStyle="1" w:styleId="Indent3">
    <w:name w:val="Indent 3"/>
    <w:basedOn w:val="Indent2"/>
    <w:link w:val="Indent3Char"/>
    <w:pPr>
      <w:ind w:left="360"/>
    </w:pPr>
    <w:rPr>
      <w:sz w:val="20"/>
      <w:szCs w:val="20"/>
    </w:rPr>
  </w:style>
  <w:style w:type="character" w:customStyle="1" w:styleId="Indent3Char">
    <w:name w:val="Indent 3 Char"/>
    <w:basedOn w:val="Indent2Char"/>
    <w:link w:val="Indent3"/>
    <w:rPr>
      <w:sz w:val="22"/>
      <w:szCs w:val="22"/>
      <w:lang w:val="en-US" w:eastAsia="en-US" w:bidi="ar-SA"/>
    </w:rPr>
  </w:style>
  <w:style w:type="paragraph" w:customStyle="1" w:styleId="NumberedList">
    <w:name w:val="Numbered List"/>
    <w:basedOn w:val="Indent2"/>
    <w:pPr>
      <w:numPr>
        <w:numId w:val="2"/>
      </w:numPr>
    </w:pPr>
  </w:style>
  <w:style w:type="paragraph" w:styleId="ListParagraph">
    <w:name w:val="List Paragraph"/>
    <w:basedOn w:val="Normal"/>
    <w:uiPriority w:val="34"/>
    <w:qFormat/>
    <w:pPr>
      <w:spacing w:after="200" w:line="276" w:lineRule="auto"/>
      <w:ind w:left="720"/>
      <w:contextualSpacing/>
    </w:pPr>
    <w:rPr>
      <w:rFonts w:ascii="Calibri" w:hAnsi="Calibri" w:cs="Times New Roman"/>
      <w:szCs w:val="22"/>
    </w:rPr>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99"/>
    <w:qFormat/>
    <w:rPr>
      <w:rFonts w:ascii="Calibri" w:hAnsi="Calibri"/>
      <w:sz w:val="22"/>
      <w:szCs w:val="22"/>
    </w:rPr>
  </w:style>
  <w:style w:type="paragraph" w:styleId="NormalWeb">
    <w:name w:val="Normal (Web)"/>
    <w:basedOn w:val="Normal"/>
    <w:pPr>
      <w:spacing w:before="100" w:beforeAutospacing="1" w:after="100" w:afterAutospacing="1"/>
    </w:pPr>
    <w:rPr>
      <w:rFonts w:cs="Times New Roman"/>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cs="Arial"/>
      <w:sz w:val="22"/>
    </w:rPr>
  </w:style>
  <w:style w:type="paragraph" w:customStyle="1" w:styleId="Indent31">
    <w:name w:val="Indent 3.1"/>
    <w:basedOn w:val="Normal"/>
    <w:pPr>
      <w:spacing w:before="120"/>
      <w:ind w:left="547"/>
    </w:pPr>
    <w:rPr>
      <w:rFonts w:ascii="Arial" w:hAnsi="Arial"/>
      <w:szCs w:val="22"/>
    </w:rPr>
  </w:style>
  <w:style w:type="paragraph" w:customStyle="1" w:styleId="Indent41">
    <w:name w:val="Indent 4.1"/>
    <w:basedOn w:val="Normal"/>
    <w:pPr>
      <w:spacing w:before="120"/>
      <w:ind w:left="720"/>
    </w:pPr>
    <w:rPr>
      <w:rFonts w:ascii="Arial" w:hAnsi="Arial"/>
      <w:szCs w:val="22"/>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Heading5Char">
    <w:name w:val="Heading 5 Char"/>
    <w:link w:val="Heading5"/>
    <w:rPr>
      <w:rFonts w:ascii="Arial" w:hAnsi="Arial" w:cs="Arial"/>
      <w:b/>
      <w:bCs/>
      <w:i/>
      <w:iCs/>
      <w:sz w:val="26"/>
      <w:szCs w:val="26"/>
    </w:rPr>
  </w:style>
  <w:style w:type="character" w:customStyle="1" w:styleId="Heading6Char">
    <w:name w:val="Heading 6 Char"/>
    <w:link w:val="Heading6"/>
    <w:rPr>
      <w:b/>
      <w:bCs/>
      <w:sz w:val="22"/>
      <w:szCs w:val="22"/>
    </w:rPr>
  </w:style>
  <w:style w:type="character" w:customStyle="1" w:styleId="FooterChar1">
    <w:name w:val="Footer Char1"/>
    <w:basedOn w:val="DefaultParagraphFont"/>
    <w:rPr>
      <w:rFonts w:cs="Arial"/>
      <w:sz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cs="Arial"/>
      <w:b/>
      <w:bC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01369">
      <w:bodyDiv w:val="1"/>
      <w:marLeft w:val="0"/>
      <w:marRight w:val="0"/>
      <w:marTop w:val="0"/>
      <w:marBottom w:val="0"/>
      <w:divBdr>
        <w:top w:val="none" w:sz="0" w:space="0" w:color="auto"/>
        <w:left w:val="none" w:sz="0" w:space="0" w:color="auto"/>
        <w:bottom w:val="none" w:sz="0" w:space="0" w:color="auto"/>
        <w:right w:val="none" w:sz="0" w:space="0" w:color="auto"/>
      </w:divBdr>
      <w:divsChild>
        <w:div w:id="551894026">
          <w:marLeft w:val="446"/>
          <w:marRight w:val="0"/>
          <w:marTop w:val="0"/>
          <w:marBottom w:val="120"/>
          <w:divBdr>
            <w:top w:val="none" w:sz="0" w:space="0" w:color="auto"/>
            <w:left w:val="none" w:sz="0" w:space="0" w:color="auto"/>
            <w:bottom w:val="none" w:sz="0" w:space="0" w:color="auto"/>
            <w:right w:val="none" w:sz="0" w:space="0" w:color="auto"/>
          </w:divBdr>
        </w:div>
        <w:div w:id="12150767">
          <w:marLeft w:val="446"/>
          <w:marRight w:val="0"/>
          <w:marTop w:val="0"/>
          <w:marBottom w:val="120"/>
          <w:divBdr>
            <w:top w:val="none" w:sz="0" w:space="0" w:color="auto"/>
            <w:left w:val="none" w:sz="0" w:space="0" w:color="auto"/>
            <w:bottom w:val="none" w:sz="0" w:space="0" w:color="auto"/>
            <w:right w:val="none" w:sz="0" w:space="0" w:color="auto"/>
          </w:divBdr>
        </w:div>
        <w:div w:id="237131282">
          <w:marLeft w:val="446"/>
          <w:marRight w:val="0"/>
          <w:marTop w:val="0"/>
          <w:marBottom w:val="120"/>
          <w:divBdr>
            <w:top w:val="none" w:sz="0" w:space="0" w:color="auto"/>
            <w:left w:val="none" w:sz="0" w:space="0" w:color="auto"/>
            <w:bottom w:val="none" w:sz="0" w:space="0" w:color="auto"/>
            <w:right w:val="none" w:sz="0" w:space="0" w:color="auto"/>
          </w:divBdr>
        </w:div>
        <w:div w:id="1251155300">
          <w:marLeft w:val="994"/>
          <w:marRight w:val="0"/>
          <w:marTop w:val="0"/>
          <w:marBottom w:val="120"/>
          <w:divBdr>
            <w:top w:val="none" w:sz="0" w:space="0" w:color="auto"/>
            <w:left w:val="none" w:sz="0" w:space="0" w:color="auto"/>
            <w:bottom w:val="none" w:sz="0" w:space="0" w:color="auto"/>
            <w:right w:val="none" w:sz="0" w:space="0" w:color="auto"/>
          </w:divBdr>
        </w:div>
        <w:div w:id="389887510">
          <w:marLeft w:val="994"/>
          <w:marRight w:val="0"/>
          <w:marTop w:val="0"/>
          <w:marBottom w:val="120"/>
          <w:divBdr>
            <w:top w:val="none" w:sz="0" w:space="0" w:color="auto"/>
            <w:left w:val="none" w:sz="0" w:space="0" w:color="auto"/>
            <w:bottom w:val="none" w:sz="0" w:space="0" w:color="auto"/>
            <w:right w:val="none" w:sz="0" w:space="0" w:color="auto"/>
          </w:divBdr>
        </w:div>
        <w:div w:id="1318537419">
          <w:marLeft w:val="446"/>
          <w:marRight w:val="0"/>
          <w:marTop w:val="0"/>
          <w:marBottom w:val="120"/>
          <w:divBdr>
            <w:top w:val="none" w:sz="0" w:space="0" w:color="auto"/>
            <w:left w:val="none" w:sz="0" w:space="0" w:color="auto"/>
            <w:bottom w:val="none" w:sz="0" w:space="0" w:color="auto"/>
            <w:right w:val="none" w:sz="0" w:space="0" w:color="auto"/>
          </w:divBdr>
        </w:div>
        <w:div w:id="1783572559">
          <w:marLeft w:val="446"/>
          <w:marRight w:val="0"/>
          <w:marTop w:val="0"/>
          <w:marBottom w:val="120"/>
          <w:divBdr>
            <w:top w:val="none" w:sz="0" w:space="0" w:color="auto"/>
            <w:left w:val="none" w:sz="0" w:space="0" w:color="auto"/>
            <w:bottom w:val="none" w:sz="0" w:space="0" w:color="auto"/>
            <w:right w:val="none" w:sz="0" w:space="0" w:color="auto"/>
          </w:divBdr>
        </w:div>
        <w:div w:id="1190559580">
          <w:marLeft w:val="446"/>
          <w:marRight w:val="0"/>
          <w:marTop w:val="0"/>
          <w:marBottom w:val="120"/>
          <w:divBdr>
            <w:top w:val="none" w:sz="0" w:space="0" w:color="auto"/>
            <w:left w:val="none" w:sz="0" w:space="0" w:color="auto"/>
            <w:bottom w:val="none" w:sz="0" w:space="0" w:color="auto"/>
            <w:right w:val="none" w:sz="0" w:space="0" w:color="auto"/>
          </w:divBdr>
        </w:div>
        <w:div w:id="824317820">
          <w:marLeft w:val="446"/>
          <w:marRight w:val="0"/>
          <w:marTop w:val="0"/>
          <w:marBottom w:val="120"/>
          <w:divBdr>
            <w:top w:val="none" w:sz="0" w:space="0" w:color="auto"/>
            <w:left w:val="none" w:sz="0" w:space="0" w:color="auto"/>
            <w:bottom w:val="none" w:sz="0" w:space="0" w:color="auto"/>
            <w:right w:val="none" w:sz="0" w:space="0" w:color="auto"/>
          </w:divBdr>
        </w:div>
        <w:div w:id="1768234954">
          <w:marLeft w:val="446"/>
          <w:marRight w:val="0"/>
          <w:marTop w:val="0"/>
          <w:marBottom w:val="120"/>
          <w:divBdr>
            <w:top w:val="none" w:sz="0" w:space="0" w:color="auto"/>
            <w:left w:val="none" w:sz="0" w:space="0" w:color="auto"/>
            <w:bottom w:val="none" w:sz="0" w:space="0" w:color="auto"/>
            <w:right w:val="none" w:sz="0" w:space="0" w:color="auto"/>
          </w:divBdr>
        </w:div>
        <w:div w:id="41567058">
          <w:marLeft w:val="446"/>
          <w:marRight w:val="0"/>
          <w:marTop w:val="0"/>
          <w:marBottom w:val="120"/>
          <w:divBdr>
            <w:top w:val="none" w:sz="0" w:space="0" w:color="auto"/>
            <w:left w:val="none" w:sz="0" w:space="0" w:color="auto"/>
            <w:bottom w:val="none" w:sz="0" w:space="0" w:color="auto"/>
            <w:right w:val="none" w:sz="0" w:space="0" w:color="auto"/>
          </w:divBdr>
        </w:div>
        <w:div w:id="1727949186">
          <w:marLeft w:val="446"/>
          <w:marRight w:val="0"/>
          <w:marTop w:val="0"/>
          <w:marBottom w:val="120"/>
          <w:divBdr>
            <w:top w:val="none" w:sz="0" w:space="0" w:color="auto"/>
            <w:left w:val="none" w:sz="0" w:space="0" w:color="auto"/>
            <w:bottom w:val="none" w:sz="0" w:space="0" w:color="auto"/>
            <w:right w:val="none" w:sz="0" w:space="0" w:color="auto"/>
          </w:divBdr>
        </w:div>
        <w:div w:id="1644045259">
          <w:marLeft w:val="446"/>
          <w:marRight w:val="0"/>
          <w:marTop w:val="0"/>
          <w:marBottom w:val="120"/>
          <w:divBdr>
            <w:top w:val="none" w:sz="0" w:space="0" w:color="auto"/>
            <w:left w:val="none" w:sz="0" w:space="0" w:color="auto"/>
            <w:bottom w:val="none" w:sz="0" w:space="0" w:color="auto"/>
            <w:right w:val="none" w:sz="0" w:space="0" w:color="auto"/>
          </w:divBdr>
        </w:div>
      </w:divsChild>
    </w:div>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873812380">
      <w:bodyDiv w:val="1"/>
      <w:marLeft w:val="0"/>
      <w:marRight w:val="0"/>
      <w:marTop w:val="0"/>
      <w:marBottom w:val="0"/>
      <w:divBdr>
        <w:top w:val="none" w:sz="0" w:space="0" w:color="auto"/>
        <w:left w:val="none" w:sz="0" w:space="0" w:color="auto"/>
        <w:bottom w:val="none" w:sz="0" w:space="0" w:color="auto"/>
        <w:right w:val="none" w:sz="0" w:space="0" w:color="auto"/>
      </w:divBdr>
      <w:divsChild>
        <w:div w:id="430930105">
          <w:marLeft w:val="446"/>
          <w:marRight w:val="0"/>
          <w:marTop w:val="0"/>
          <w:marBottom w:val="120"/>
          <w:divBdr>
            <w:top w:val="none" w:sz="0" w:space="0" w:color="auto"/>
            <w:left w:val="none" w:sz="0" w:space="0" w:color="auto"/>
            <w:bottom w:val="none" w:sz="0" w:space="0" w:color="auto"/>
            <w:right w:val="none" w:sz="0" w:space="0" w:color="auto"/>
          </w:divBdr>
        </w:div>
        <w:div w:id="1422487167">
          <w:marLeft w:val="446"/>
          <w:marRight w:val="0"/>
          <w:marTop w:val="0"/>
          <w:marBottom w:val="120"/>
          <w:divBdr>
            <w:top w:val="none" w:sz="0" w:space="0" w:color="auto"/>
            <w:left w:val="none" w:sz="0" w:space="0" w:color="auto"/>
            <w:bottom w:val="none" w:sz="0" w:space="0" w:color="auto"/>
            <w:right w:val="none" w:sz="0" w:space="0" w:color="auto"/>
          </w:divBdr>
        </w:div>
        <w:div w:id="1790975598">
          <w:marLeft w:val="446"/>
          <w:marRight w:val="0"/>
          <w:marTop w:val="0"/>
          <w:marBottom w:val="120"/>
          <w:divBdr>
            <w:top w:val="none" w:sz="0" w:space="0" w:color="auto"/>
            <w:left w:val="none" w:sz="0" w:space="0" w:color="auto"/>
            <w:bottom w:val="none" w:sz="0" w:space="0" w:color="auto"/>
            <w:right w:val="none" w:sz="0" w:space="0" w:color="auto"/>
          </w:divBdr>
        </w:div>
        <w:div w:id="1890455349">
          <w:marLeft w:val="446"/>
          <w:marRight w:val="0"/>
          <w:marTop w:val="0"/>
          <w:marBottom w:val="120"/>
          <w:divBdr>
            <w:top w:val="none" w:sz="0" w:space="0" w:color="auto"/>
            <w:left w:val="none" w:sz="0" w:space="0" w:color="auto"/>
            <w:bottom w:val="none" w:sz="0" w:space="0" w:color="auto"/>
            <w:right w:val="none" w:sz="0" w:space="0" w:color="auto"/>
          </w:divBdr>
        </w:div>
        <w:div w:id="2030327642">
          <w:marLeft w:val="446"/>
          <w:marRight w:val="0"/>
          <w:marTop w:val="0"/>
          <w:marBottom w:val="120"/>
          <w:divBdr>
            <w:top w:val="none" w:sz="0" w:space="0" w:color="auto"/>
            <w:left w:val="none" w:sz="0" w:space="0" w:color="auto"/>
            <w:bottom w:val="none" w:sz="0" w:space="0" w:color="auto"/>
            <w:right w:val="none" w:sz="0" w:space="0" w:color="auto"/>
          </w:divBdr>
        </w:div>
      </w:divsChild>
    </w:div>
    <w:div w:id="894509918">
      <w:bodyDiv w:val="1"/>
      <w:marLeft w:val="0"/>
      <w:marRight w:val="0"/>
      <w:marTop w:val="0"/>
      <w:marBottom w:val="0"/>
      <w:divBdr>
        <w:top w:val="none" w:sz="0" w:space="0" w:color="auto"/>
        <w:left w:val="none" w:sz="0" w:space="0" w:color="auto"/>
        <w:bottom w:val="none" w:sz="0" w:space="0" w:color="auto"/>
        <w:right w:val="none" w:sz="0" w:space="0" w:color="auto"/>
      </w:divBdr>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492916002">
      <w:bodyDiv w:val="1"/>
      <w:marLeft w:val="0"/>
      <w:marRight w:val="0"/>
      <w:marTop w:val="0"/>
      <w:marBottom w:val="0"/>
      <w:divBdr>
        <w:top w:val="none" w:sz="0" w:space="0" w:color="auto"/>
        <w:left w:val="none" w:sz="0" w:space="0" w:color="auto"/>
        <w:bottom w:val="none" w:sz="0" w:space="0" w:color="auto"/>
        <w:right w:val="none" w:sz="0" w:space="0" w:color="auto"/>
      </w:divBdr>
      <w:divsChild>
        <w:div w:id="18052546">
          <w:marLeft w:val="446"/>
          <w:marRight w:val="0"/>
          <w:marTop w:val="0"/>
          <w:marBottom w:val="120"/>
          <w:divBdr>
            <w:top w:val="none" w:sz="0" w:space="0" w:color="auto"/>
            <w:left w:val="none" w:sz="0" w:space="0" w:color="auto"/>
            <w:bottom w:val="none" w:sz="0" w:space="0" w:color="auto"/>
            <w:right w:val="none" w:sz="0" w:space="0" w:color="auto"/>
          </w:divBdr>
        </w:div>
        <w:div w:id="122775818">
          <w:marLeft w:val="446"/>
          <w:marRight w:val="0"/>
          <w:marTop w:val="0"/>
          <w:marBottom w:val="120"/>
          <w:divBdr>
            <w:top w:val="none" w:sz="0" w:space="0" w:color="auto"/>
            <w:left w:val="none" w:sz="0" w:space="0" w:color="auto"/>
            <w:bottom w:val="none" w:sz="0" w:space="0" w:color="auto"/>
            <w:right w:val="none" w:sz="0" w:space="0" w:color="auto"/>
          </w:divBdr>
        </w:div>
        <w:div w:id="485977648">
          <w:marLeft w:val="446"/>
          <w:marRight w:val="0"/>
          <w:marTop w:val="0"/>
          <w:marBottom w:val="120"/>
          <w:divBdr>
            <w:top w:val="none" w:sz="0" w:space="0" w:color="auto"/>
            <w:left w:val="none" w:sz="0" w:space="0" w:color="auto"/>
            <w:bottom w:val="none" w:sz="0" w:space="0" w:color="auto"/>
            <w:right w:val="none" w:sz="0" w:space="0" w:color="auto"/>
          </w:divBdr>
        </w:div>
        <w:div w:id="659230621">
          <w:marLeft w:val="446"/>
          <w:marRight w:val="0"/>
          <w:marTop w:val="0"/>
          <w:marBottom w:val="120"/>
          <w:divBdr>
            <w:top w:val="none" w:sz="0" w:space="0" w:color="auto"/>
            <w:left w:val="none" w:sz="0" w:space="0" w:color="auto"/>
            <w:bottom w:val="none" w:sz="0" w:space="0" w:color="auto"/>
            <w:right w:val="none" w:sz="0" w:space="0" w:color="auto"/>
          </w:divBdr>
        </w:div>
        <w:div w:id="664668724">
          <w:marLeft w:val="446"/>
          <w:marRight w:val="0"/>
          <w:marTop w:val="0"/>
          <w:marBottom w:val="120"/>
          <w:divBdr>
            <w:top w:val="none" w:sz="0" w:space="0" w:color="auto"/>
            <w:left w:val="none" w:sz="0" w:space="0" w:color="auto"/>
            <w:bottom w:val="none" w:sz="0" w:space="0" w:color="auto"/>
            <w:right w:val="none" w:sz="0" w:space="0" w:color="auto"/>
          </w:divBdr>
        </w:div>
        <w:div w:id="1084037524">
          <w:marLeft w:val="446"/>
          <w:marRight w:val="0"/>
          <w:marTop w:val="0"/>
          <w:marBottom w:val="120"/>
          <w:divBdr>
            <w:top w:val="none" w:sz="0" w:space="0" w:color="auto"/>
            <w:left w:val="none" w:sz="0" w:space="0" w:color="auto"/>
            <w:bottom w:val="none" w:sz="0" w:space="0" w:color="auto"/>
            <w:right w:val="none" w:sz="0" w:space="0" w:color="auto"/>
          </w:divBdr>
        </w:div>
        <w:div w:id="1100024605">
          <w:marLeft w:val="446"/>
          <w:marRight w:val="0"/>
          <w:marTop w:val="0"/>
          <w:marBottom w:val="120"/>
          <w:divBdr>
            <w:top w:val="none" w:sz="0" w:space="0" w:color="auto"/>
            <w:left w:val="none" w:sz="0" w:space="0" w:color="auto"/>
            <w:bottom w:val="none" w:sz="0" w:space="0" w:color="auto"/>
            <w:right w:val="none" w:sz="0" w:space="0" w:color="auto"/>
          </w:divBdr>
        </w:div>
        <w:div w:id="203411430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DC59-8E5F-4FF5-86D3-2C2AE9DC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1178</Words>
  <Characters>5985</Characters>
  <Application>Microsoft Office Word</Application>
  <DocSecurity>0</DocSecurity>
  <Lines>130</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A</vt:lpstr>
      <vt:lpstr>Annex A</vt:lpstr>
    </vt:vector>
  </TitlesOfParts>
  <Company>Xcel Energy</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keywords>C_Unrestricted</cp:keywords>
  <cp:lastModifiedBy>Ulf Radbrandt</cp:lastModifiedBy>
  <cp:revision>4</cp:revision>
  <cp:lastPrinted>2014-12-16T02:44:00Z</cp:lastPrinted>
  <dcterms:created xsi:type="dcterms:W3CDTF">2018-10-17T12:00:00Z</dcterms:created>
  <dcterms:modified xsi:type="dcterms:W3CDTF">2018-10-17T14:20:00Z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ies>
</file>