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70C7" w14:textId="77777777" w:rsidR="00131ACB" w:rsidRPr="000D5244" w:rsidRDefault="00131ACB" w:rsidP="00131ACB">
      <w:pPr>
        <w:pStyle w:val="Heading1"/>
      </w:pPr>
      <w:r w:rsidRPr="000D5244">
        <w:t>Chair’s Report – S</w:t>
      </w:r>
      <w:r>
        <w:t>usan McNelly</w:t>
      </w:r>
    </w:p>
    <w:p w14:paraId="1C5A7B4E" w14:textId="3271A8FF" w:rsidR="00131ACB" w:rsidRPr="00720A95" w:rsidRDefault="00131ACB" w:rsidP="00131ACB">
      <w:pPr>
        <w:pStyle w:val="Indent3"/>
        <w:ind w:left="0"/>
        <w:rPr>
          <w:szCs w:val="22"/>
        </w:rPr>
      </w:pPr>
      <w:r w:rsidRPr="00720A95">
        <w:rPr>
          <w:szCs w:val="22"/>
        </w:rPr>
        <w:t xml:space="preserve">Chair’s Remarks – Presented at the Monday General Session -- </w:t>
      </w:r>
      <w:r w:rsidR="00263DC2">
        <w:rPr>
          <w:szCs w:val="22"/>
        </w:rPr>
        <w:t>Jacksonville, Florida</w:t>
      </w:r>
      <w:r w:rsidRPr="00720A95">
        <w:rPr>
          <w:szCs w:val="22"/>
        </w:rPr>
        <w:t xml:space="preserve"> - </w:t>
      </w:r>
      <w:proofErr w:type="gramStart"/>
      <w:r w:rsidR="00263DC2">
        <w:rPr>
          <w:szCs w:val="22"/>
        </w:rPr>
        <w:t>Fall</w:t>
      </w:r>
      <w:proofErr w:type="gramEnd"/>
      <w:r w:rsidRPr="00720A95">
        <w:rPr>
          <w:szCs w:val="22"/>
        </w:rPr>
        <w:t xml:space="preserve"> 2018</w:t>
      </w:r>
    </w:p>
    <w:p w14:paraId="5639204C" w14:textId="77777777" w:rsidR="00131ACB" w:rsidRPr="004679A7" w:rsidRDefault="00131ACB" w:rsidP="00131ACB">
      <w:pPr>
        <w:pStyle w:val="Heading2"/>
      </w:pPr>
      <w:r w:rsidRPr="004679A7">
        <w:t xml:space="preserve">IEEE PES Technical Council </w:t>
      </w:r>
    </w:p>
    <w:p w14:paraId="6898EFF4" w14:textId="77777777" w:rsidR="00131ACB" w:rsidRDefault="00131ACB" w:rsidP="00131ACB">
      <w:pPr>
        <w:pStyle w:val="Indent3"/>
        <w:ind w:left="180"/>
        <w:jc w:val="both"/>
        <w:rPr>
          <w:szCs w:val="22"/>
        </w:rPr>
      </w:pPr>
      <w:r w:rsidRPr="00D85C0D">
        <w:rPr>
          <w:szCs w:val="22"/>
        </w:rPr>
        <w:t xml:space="preserve">The Technical Council of the IEEE Power Energy Society (PES) is composed of the Chairpersons of the PES Technical and Coordinating Committees, plus the Chairpersons of Standing Committees reporting to it.  </w:t>
      </w:r>
      <w:r w:rsidRPr="00D85C0D">
        <w:rPr>
          <w:spacing w:val="-2"/>
          <w:szCs w:val="22"/>
        </w:rPr>
        <w:t>The</w:t>
      </w:r>
      <w:r w:rsidRPr="00D85C0D">
        <w:rPr>
          <w:spacing w:val="21"/>
          <w:szCs w:val="22"/>
        </w:rPr>
        <w:t xml:space="preserve"> </w:t>
      </w:r>
      <w:r>
        <w:rPr>
          <w:spacing w:val="21"/>
          <w:szCs w:val="22"/>
        </w:rPr>
        <w:t xml:space="preserve">full </w:t>
      </w:r>
      <w:r w:rsidRPr="00D85C0D">
        <w:rPr>
          <w:spacing w:val="-2"/>
          <w:szCs w:val="22"/>
        </w:rPr>
        <w:t>organizational</w:t>
      </w:r>
      <w:r w:rsidRPr="00D85C0D">
        <w:rPr>
          <w:spacing w:val="12"/>
          <w:szCs w:val="22"/>
        </w:rPr>
        <w:t xml:space="preserve"> </w:t>
      </w:r>
      <w:r w:rsidRPr="00D85C0D">
        <w:rPr>
          <w:spacing w:val="1"/>
          <w:szCs w:val="22"/>
        </w:rPr>
        <w:t>structure</w:t>
      </w:r>
      <w:r w:rsidRPr="00D85C0D">
        <w:rPr>
          <w:spacing w:val="21"/>
          <w:szCs w:val="22"/>
        </w:rPr>
        <w:t xml:space="preserve"> </w:t>
      </w:r>
      <w:r w:rsidRPr="00D85C0D">
        <w:rPr>
          <w:spacing w:val="3"/>
          <w:szCs w:val="22"/>
        </w:rPr>
        <w:t>of</w:t>
      </w:r>
      <w:r w:rsidRPr="00D85C0D">
        <w:rPr>
          <w:spacing w:val="7"/>
          <w:szCs w:val="22"/>
        </w:rPr>
        <w:t xml:space="preserve"> </w:t>
      </w:r>
      <w:r w:rsidRPr="00D85C0D">
        <w:rPr>
          <w:szCs w:val="22"/>
        </w:rPr>
        <w:t>the</w:t>
      </w:r>
      <w:r w:rsidRPr="00D85C0D">
        <w:rPr>
          <w:spacing w:val="18"/>
          <w:szCs w:val="22"/>
        </w:rPr>
        <w:t xml:space="preserve"> </w:t>
      </w:r>
      <w:r w:rsidRPr="00D85C0D">
        <w:rPr>
          <w:szCs w:val="22"/>
        </w:rPr>
        <w:t>PES</w:t>
      </w:r>
      <w:r w:rsidRPr="00D85C0D">
        <w:rPr>
          <w:spacing w:val="20"/>
          <w:szCs w:val="22"/>
        </w:rPr>
        <w:t xml:space="preserve"> </w:t>
      </w:r>
      <w:r w:rsidRPr="00D85C0D">
        <w:rPr>
          <w:spacing w:val="-4"/>
          <w:szCs w:val="22"/>
        </w:rPr>
        <w:t>is</w:t>
      </w:r>
      <w:r w:rsidRPr="00D85C0D">
        <w:rPr>
          <w:spacing w:val="15"/>
          <w:szCs w:val="22"/>
        </w:rPr>
        <w:t xml:space="preserve"> </w:t>
      </w:r>
      <w:r w:rsidRPr="00D85C0D">
        <w:rPr>
          <w:spacing w:val="-1"/>
          <w:szCs w:val="22"/>
        </w:rPr>
        <w:t>shown</w:t>
      </w:r>
      <w:r w:rsidRPr="00D85C0D">
        <w:rPr>
          <w:spacing w:val="14"/>
          <w:szCs w:val="22"/>
        </w:rPr>
        <w:t xml:space="preserve"> </w:t>
      </w:r>
      <w:r w:rsidRPr="00D85C0D">
        <w:rPr>
          <w:spacing w:val="-4"/>
          <w:szCs w:val="22"/>
        </w:rPr>
        <w:t>in</w:t>
      </w:r>
      <w:r w:rsidRPr="00D85C0D">
        <w:rPr>
          <w:spacing w:val="49"/>
          <w:w w:val="101"/>
          <w:szCs w:val="22"/>
        </w:rPr>
        <w:t xml:space="preserve"> </w:t>
      </w:r>
      <w:r w:rsidRPr="00D85C0D">
        <w:rPr>
          <w:szCs w:val="22"/>
        </w:rPr>
        <w:t>the</w:t>
      </w:r>
      <w:r w:rsidRPr="00D85C0D">
        <w:rPr>
          <w:spacing w:val="2"/>
          <w:szCs w:val="22"/>
        </w:rPr>
        <w:t xml:space="preserve"> </w:t>
      </w:r>
      <w:r w:rsidRPr="00D85C0D">
        <w:rPr>
          <w:spacing w:val="-2"/>
          <w:szCs w:val="22"/>
        </w:rPr>
        <w:t>current</w:t>
      </w:r>
      <w:r w:rsidRPr="00D85C0D">
        <w:rPr>
          <w:spacing w:val="8"/>
          <w:szCs w:val="22"/>
        </w:rPr>
        <w:t xml:space="preserve"> </w:t>
      </w:r>
      <w:r w:rsidRPr="00D85C0D">
        <w:rPr>
          <w:spacing w:val="-3"/>
          <w:szCs w:val="22"/>
        </w:rPr>
        <w:t>version</w:t>
      </w:r>
      <w:r w:rsidRPr="00D85C0D">
        <w:rPr>
          <w:spacing w:val="1"/>
          <w:szCs w:val="22"/>
        </w:rPr>
        <w:t xml:space="preserve"> of</w:t>
      </w:r>
      <w:r w:rsidRPr="00D85C0D">
        <w:rPr>
          <w:spacing w:val="52"/>
          <w:szCs w:val="22"/>
        </w:rPr>
        <w:t xml:space="preserve"> </w:t>
      </w:r>
      <w:r w:rsidRPr="00D85C0D">
        <w:rPr>
          <w:szCs w:val="22"/>
        </w:rPr>
        <w:t>the</w:t>
      </w:r>
      <w:r w:rsidRPr="00D85C0D">
        <w:rPr>
          <w:spacing w:val="2"/>
          <w:szCs w:val="22"/>
        </w:rPr>
        <w:t xml:space="preserve"> </w:t>
      </w:r>
      <w:r w:rsidRPr="00D85C0D">
        <w:rPr>
          <w:spacing w:val="1"/>
          <w:szCs w:val="22"/>
        </w:rPr>
        <w:t>IEEE</w:t>
      </w:r>
      <w:r w:rsidRPr="00D85C0D">
        <w:rPr>
          <w:spacing w:val="7"/>
          <w:szCs w:val="22"/>
        </w:rPr>
        <w:t xml:space="preserve"> </w:t>
      </w:r>
      <w:r w:rsidRPr="00D85C0D">
        <w:rPr>
          <w:szCs w:val="22"/>
        </w:rPr>
        <w:t>PES</w:t>
      </w:r>
      <w:r w:rsidRPr="00D85C0D">
        <w:rPr>
          <w:spacing w:val="46"/>
          <w:szCs w:val="22"/>
        </w:rPr>
        <w:t xml:space="preserve"> </w:t>
      </w:r>
      <w:r w:rsidRPr="00D85C0D">
        <w:rPr>
          <w:spacing w:val="-2"/>
          <w:szCs w:val="22"/>
        </w:rPr>
        <w:t>Organization Chart</w:t>
      </w:r>
      <w:r w:rsidRPr="00D85C0D">
        <w:rPr>
          <w:spacing w:val="47"/>
          <w:szCs w:val="22"/>
        </w:rPr>
        <w:t xml:space="preserve"> </w:t>
      </w:r>
      <w:r w:rsidRPr="00D85C0D">
        <w:rPr>
          <w:spacing w:val="-2"/>
          <w:szCs w:val="22"/>
        </w:rPr>
        <w:t>and</w:t>
      </w:r>
      <w:r w:rsidRPr="00D85C0D">
        <w:rPr>
          <w:spacing w:val="56"/>
          <w:szCs w:val="22"/>
        </w:rPr>
        <w:t xml:space="preserve"> </w:t>
      </w:r>
      <w:r w:rsidRPr="00D85C0D">
        <w:rPr>
          <w:spacing w:val="-2"/>
          <w:szCs w:val="22"/>
        </w:rPr>
        <w:t>Committee</w:t>
      </w:r>
      <w:r w:rsidRPr="00D85C0D">
        <w:rPr>
          <w:spacing w:val="60"/>
          <w:w w:val="101"/>
          <w:szCs w:val="22"/>
        </w:rPr>
        <w:t xml:space="preserve"> </w:t>
      </w:r>
      <w:r w:rsidRPr="00D85C0D">
        <w:rPr>
          <w:spacing w:val="-1"/>
          <w:szCs w:val="22"/>
        </w:rPr>
        <w:t>Directory (</w:t>
      </w:r>
      <w:bookmarkStart w:id="0" w:name="OLE_LINK1"/>
      <w:bookmarkStart w:id="1" w:name="OLE_LINK2"/>
      <w:r w:rsidRPr="00D85C0D">
        <w:rPr>
          <w:spacing w:val="-1"/>
          <w:szCs w:val="22"/>
        </w:rPr>
        <w:t>http://www.ieee-pes.org/pes-organization-chart-and-committee-directory</w:t>
      </w:r>
      <w:bookmarkEnd w:id="0"/>
      <w:bookmarkEnd w:id="1"/>
      <w:r w:rsidRPr="00D85C0D">
        <w:rPr>
          <w:spacing w:val="-1"/>
          <w:szCs w:val="22"/>
        </w:rPr>
        <w:t>).</w:t>
      </w:r>
      <w:r w:rsidRPr="00D85C0D">
        <w:rPr>
          <w:spacing w:val="23"/>
          <w:szCs w:val="22"/>
        </w:rPr>
        <w:t xml:space="preserve"> </w:t>
      </w:r>
      <w:r w:rsidRPr="00D85C0D">
        <w:rPr>
          <w:szCs w:val="22"/>
        </w:rPr>
        <w:t xml:space="preserve">The PES Technical Committees report to the Technical Council on matters concerning membership, recognition, technical publications, scope and the coordination of the Power Energy Society generated standards.  For standards relating to their technical scope, the Technical Committees work directly with the IEEE-SA Standards Board and the PES Standards Coordinating Committee.  For further details on the Statement of Purpose and Scope of Activities for the PES Technical Council Please see; </w:t>
      </w:r>
      <w:hyperlink r:id="rId9" w:history="1">
        <w:r w:rsidRPr="00D85C0D">
          <w:rPr>
            <w:rStyle w:val="Hyperlink"/>
            <w:szCs w:val="22"/>
          </w:rPr>
          <w:t>http://www.ieee-pes.org/statement-of-purpose-and-scope-of-activities-for-the-pes-technical-council</w:t>
        </w:r>
      </w:hyperlink>
      <w:r w:rsidRPr="00D85C0D">
        <w:rPr>
          <w:szCs w:val="22"/>
        </w:rPr>
        <w:t xml:space="preserve">.  </w:t>
      </w:r>
    </w:p>
    <w:p w14:paraId="4E3A5681" w14:textId="77777777" w:rsidR="00131ACB" w:rsidRPr="004679A7" w:rsidRDefault="00131ACB" w:rsidP="00131ACB">
      <w:pPr>
        <w:pStyle w:val="Heading3"/>
      </w:pPr>
      <w:r w:rsidRPr="004679A7">
        <w:t xml:space="preserve">Technical Council </w:t>
      </w:r>
      <w:proofErr w:type="gramStart"/>
      <w:r w:rsidRPr="004679A7">
        <w:t>Officers &amp;</w:t>
      </w:r>
      <w:proofErr w:type="gramEnd"/>
      <w:r w:rsidRPr="004679A7">
        <w:t xml:space="preserve"> Members</w:t>
      </w:r>
    </w:p>
    <w:p w14:paraId="2F157E29" w14:textId="77777777" w:rsidR="00131ACB" w:rsidRPr="00D85C0D" w:rsidRDefault="00131ACB" w:rsidP="00131ACB">
      <w:pPr>
        <w:pStyle w:val="Indent3"/>
        <w:jc w:val="both"/>
      </w:pPr>
      <w:r w:rsidRPr="00D85C0D">
        <w:t xml:space="preserve">The officers and members of the Technical Council are listed below for your reference.  Each individual listed here is the chair of that respective committee.  </w:t>
      </w:r>
    </w:p>
    <w:tbl>
      <w:tblPr>
        <w:tblStyle w:val="TableGrid"/>
        <w:tblW w:w="549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140"/>
      </w:tblGrid>
      <w:tr w:rsidR="00131ACB" w:rsidRPr="000641DF" w14:paraId="1B4A2ABB" w14:textId="77777777" w:rsidTr="00626098">
        <w:tc>
          <w:tcPr>
            <w:tcW w:w="5490" w:type="dxa"/>
            <w:gridSpan w:val="2"/>
          </w:tcPr>
          <w:p w14:paraId="6695C8ED" w14:textId="77777777" w:rsidR="00131ACB" w:rsidRPr="0027745D" w:rsidRDefault="00131ACB" w:rsidP="00626098">
            <w:pPr>
              <w:pStyle w:val="Indent3"/>
              <w:keepNext/>
              <w:ind w:left="0"/>
              <w:rPr>
                <w:b/>
                <w:sz w:val="20"/>
              </w:rPr>
            </w:pPr>
            <w:r w:rsidRPr="0027745D">
              <w:rPr>
                <w:b/>
                <w:sz w:val="20"/>
              </w:rPr>
              <w:t>TECHNICAL COUNCIL OFFICERS   2018-2019</w:t>
            </w:r>
          </w:p>
        </w:tc>
      </w:tr>
      <w:tr w:rsidR="00131ACB" w:rsidRPr="000641DF" w14:paraId="2B70ACD9" w14:textId="77777777" w:rsidTr="00626098">
        <w:tc>
          <w:tcPr>
            <w:tcW w:w="1350" w:type="dxa"/>
          </w:tcPr>
          <w:p w14:paraId="0755FA5D" w14:textId="77777777" w:rsidR="00131ACB" w:rsidRPr="000641DF" w:rsidRDefault="00131ACB" w:rsidP="00626098">
            <w:pPr>
              <w:pStyle w:val="Indent3"/>
              <w:keepNext/>
              <w:ind w:left="162"/>
              <w:rPr>
                <w:sz w:val="20"/>
              </w:rPr>
            </w:pPr>
            <w:r w:rsidRPr="000641DF">
              <w:rPr>
                <w:sz w:val="20"/>
              </w:rPr>
              <w:t>Chair</w:t>
            </w:r>
          </w:p>
        </w:tc>
        <w:tc>
          <w:tcPr>
            <w:tcW w:w="4140" w:type="dxa"/>
          </w:tcPr>
          <w:p w14:paraId="08727EA1" w14:textId="77777777" w:rsidR="00131ACB" w:rsidRPr="000641DF" w:rsidRDefault="00131ACB" w:rsidP="00626098">
            <w:pPr>
              <w:pStyle w:val="Indent3"/>
              <w:keepNext/>
              <w:ind w:left="0"/>
              <w:rPr>
                <w:sz w:val="20"/>
              </w:rPr>
            </w:pPr>
            <w:r w:rsidRPr="000641DF">
              <w:rPr>
                <w:sz w:val="20"/>
              </w:rPr>
              <w:t>Farnoosh Rahmatian (Quanta Technology)</w:t>
            </w:r>
          </w:p>
        </w:tc>
      </w:tr>
      <w:tr w:rsidR="00131ACB" w:rsidRPr="000641DF" w14:paraId="615D2885" w14:textId="77777777" w:rsidTr="00626098">
        <w:tc>
          <w:tcPr>
            <w:tcW w:w="1350" w:type="dxa"/>
          </w:tcPr>
          <w:p w14:paraId="1CA3C9D1" w14:textId="77777777" w:rsidR="00131ACB" w:rsidRPr="000641DF" w:rsidRDefault="00131ACB" w:rsidP="00626098">
            <w:pPr>
              <w:pStyle w:val="Indent3"/>
              <w:keepNext/>
              <w:spacing w:before="0"/>
              <w:ind w:left="162"/>
              <w:rPr>
                <w:sz w:val="20"/>
              </w:rPr>
            </w:pPr>
            <w:r w:rsidRPr="000641DF">
              <w:rPr>
                <w:sz w:val="20"/>
              </w:rPr>
              <w:t>Vice Chair</w:t>
            </w:r>
          </w:p>
        </w:tc>
        <w:tc>
          <w:tcPr>
            <w:tcW w:w="4140" w:type="dxa"/>
          </w:tcPr>
          <w:p w14:paraId="52820741" w14:textId="77777777" w:rsidR="00131ACB" w:rsidRPr="000641DF" w:rsidRDefault="00131ACB" w:rsidP="00626098">
            <w:pPr>
              <w:pStyle w:val="Indent3"/>
              <w:keepNext/>
              <w:spacing w:before="0"/>
              <w:ind w:left="0"/>
              <w:rPr>
                <w:sz w:val="20"/>
              </w:rPr>
            </w:pPr>
            <w:r w:rsidRPr="000641DF">
              <w:rPr>
                <w:sz w:val="20"/>
              </w:rPr>
              <w:t>Vijay Vittal (Arizona State University)</w:t>
            </w:r>
          </w:p>
        </w:tc>
      </w:tr>
      <w:tr w:rsidR="00131ACB" w:rsidRPr="000641DF" w14:paraId="60AAE84A" w14:textId="77777777" w:rsidTr="00626098">
        <w:tc>
          <w:tcPr>
            <w:tcW w:w="1350" w:type="dxa"/>
          </w:tcPr>
          <w:p w14:paraId="4DE86356" w14:textId="77777777" w:rsidR="00131ACB" w:rsidRPr="000641DF" w:rsidRDefault="00131ACB" w:rsidP="00626098">
            <w:pPr>
              <w:pStyle w:val="Indent3"/>
              <w:keepNext/>
              <w:spacing w:before="0"/>
              <w:ind w:left="162"/>
              <w:rPr>
                <w:sz w:val="20"/>
              </w:rPr>
            </w:pPr>
            <w:r w:rsidRPr="000641DF">
              <w:rPr>
                <w:sz w:val="20"/>
              </w:rPr>
              <w:t>Secretary</w:t>
            </w:r>
          </w:p>
        </w:tc>
        <w:tc>
          <w:tcPr>
            <w:tcW w:w="4140" w:type="dxa"/>
          </w:tcPr>
          <w:p w14:paraId="6737BF18" w14:textId="77777777" w:rsidR="00131ACB" w:rsidRPr="000641DF" w:rsidRDefault="00131ACB" w:rsidP="00626098">
            <w:pPr>
              <w:pStyle w:val="Indent3"/>
              <w:keepNext/>
              <w:spacing w:before="0"/>
              <w:ind w:left="0"/>
              <w:rPr>
                <w:sz w:val="20"/>
              </w:rPr>
            </w:pPr>
            <w:r w:rsidRPr="000641DF">
              <w:rPr>
                <w:sz w:val="20"/>
              </w:rPr>
              <w:t>Hong Chen</w:t>
            </w:r>
          </w:p>
        </w:tc>
      </w:tr>
      <w:tr w:rsidR="00131ACB" w:rsidRPr="000641DF" w14:paraId="21BE7216" w14:textId="77777777" w:rsidTr="00626098">
        <w:tc>
          <w:tcPr>
            <w:tcW w:w="1350" w:type="dxa"/>
          </w:tcPr>
          <w:p w14:paraId="179E404B" w14:textId="77777777" w:rsidR="00131ACB" w:rsidRPr="000641DF" w:rsidRDefault="00131ACB" w:rsidP="00626098">
            <w:pPr>
              <w:pStyle w:val="Indent3"/>
              <w:spacing w:before="0"/>
              <w:ind w:left="162"/>
              <w:rPr>
                <w:sz w:val="20"/>
              </w:rPr>
            </w:pPr>
            <w:r w:rsidRPr="000641DF">
              <w:rPr>
                <w:sz w:val="20"/>
              </w:rPr>
              <w:t>Past Chair</w:t>
            </w:r>
          </w:p>
        </w:tc>
        <w:tc>
          <w:tcPr>
            <w:tcW w:w="4140" w:type="dxa"/>
          </w:tcPr>
          <w:p w14:paraId="2D1535D2" w14:textId="77777777" w:rsidR="00131ACB" w:rsidRPr="000641DF" w:rsidRDefault="00131ACB" w:rsidP="00626098">
            <w:pPr>
              <w:pStyle w:val="Indent3"/>
              <w:spacing w:before="0"/>
              <w:ind w:left="0"/>
              <w:rPr>
                <w:sz w:val="20"/>
              </w:rPr>
            </w:pPr>
            <w:r w:rsidRPr="000641DF">
              <w:rPr>
                <w:sz w:val="20"/>
              </w:rPr>
              <w:t>Miriam Sanders (SEL University)</w:t>
            </w:r>
          </w:p>
        </w:tc>
      </w:tr>
    </w:tbl>
    <w:p w14:paraId="222B83B2" w14:textId="77777777" w:rsidR="00131ACB" w:rsidRDefault="00131ACB" w:rsidP="00131ACB">
      <w:pPr>
        <w:pStyle w:val="Indent3"/>
        <w:spacing w:before="0"/>
        <w:jc w:val="both"/>
      </w:pPr>
    </w:p>
    <w:tbl>
      <w:tblPr>
        <w:tblStyle w:val="TableGrid"/>
        <w:tblW w:w="69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980"/>
      </w:tblGrid>
      <w:tr w:rsidR="00131ACB" w:rsidRPr="000641DF" w14:paraId="7BA9B1FC" w14:textId="77777777" w:rsidTr="00626098">
        <w:tc>
          <w:tcPr>
            <w:tcW w:w="4950" w:type="dxa"/>
          </w:tcPr>
          <w:p w14:paraId="7A680500" w14:textId="77777777" w:rsidR="00131ACB" w:rsidRPr="0027745D" w:rsidRDefault="00131ACB" w:rsidP="00626098">
            <w:pPr>
              <w:pStyle w:val="Indent3"/>
              <w:keepNext/>
              <w:spacing w:before="0"/>
              <w:ind w:left="0"/>
              <w:rPr>
                <w:b/>
                <w:sz w:val="20"/>
              </w:rPr>
            </w:pPr>
            <w:r w:rsidRPr="0027745D">
              <w:rPr>
                <w:b/>
                <w:sz w:val="20"/>
              </w:rPr>
              <w:t>STANDING COMMITTEES   2018-2019</w:t>
            </w:r>
          </w:p>
        </w:tc>
        <w:tc>
          <w:tcPr>
            <w:tcW w:w="1980" w:type="dxa"/>
          </w:tcPr>
          <w:p w14:paraId="0394B9D4" w14:textId="77777777" w:rsidR="00131ACB" w:rsidRPr="000641DF" w:rsidRDefault="00131ACB" w:rsidP="00626098">
            <w:pPr>
              <w:pStyle w:val="Indent3"/>
              <w:keepNext/>
              <w:spacing w:before="0"/>
              <w:ind w:left="0"/>
              <w:rPr>
                <w:b/>
                <w:sz w:val="20"/>
              </w:rPr>
            </w:pPr>
            <w:r w:rsidRPr="000641DF">
              <w:rPr>
                <w:b/>
                <w:sz w:val="20"/>
              </w:rPr>
              <w:t>Chair</w:t>
            </w:r>
          </w:p>
        </w:tc>
      </w:tr>
      <w:tr w:rsidR="00131ACB" w:rsidRPr="000641DF" w14:paraId="7CCA9AF7" w14:textId="77777777" w:rsidTr="00626098">
        <w:tc>
          <w:tcPr>
            <w:tcW w:w="4950" w:type="dxa"/>
          </w:tcPr>
          <w:p w14:paraId="381E04B0" w14:textId="77777777" w:rsidR="00131ACB" w:rsidRPr="000641DF" w:rsidRDefault="00131ACB" w:rsidP="00626098">
            <w:pPr>
              <w:pStyle w:val="Indent3"/>
              <w:keepNext/>
              <w:spacing w:before="0"/>
              <w:ind w:left="162"/>
              <w:rPr>
                <w:b/>
                <w:sz w:val="20"/>
              </w:rPr>
            </w:pPr>
            <w:r w:rsidRPr="000641DF">
              <w:rPr>
                <w:sz w:val="20"/>
              </w:rPr>
              <w:t>Technical Activities Awards</w:t>
            </w:r>
          </w:p>
        </w:tc>
        <w:tc>
          <w:tcPr>
            <w:tcW w:w="1980" w:type="dxa"/>
          </w:tcPr>
          <w:p w14:paraId="72A69C64" w14:textId="77777777" w:rsidR="00131ACB" w:rsidRPr="000641DF" w:rsidRDefault="00131ACB" w:rsidP="00626098">
            <w:pPr>
              <w:pStyle w:val="Indent3"/>
              <w:keepNext/>
              <w:spacing w:before="0"/>
              <w:ind w:left="0"/>
              <w:rPr>
                <w:sz w:val="20"/>
              </w:rPr>
            </w:pPr>
            <w:r w:rsidRPr="000641DF">
              <w:rPr>
                <w:sz w:val="20"/>
              </w:rPr>
              <w:t>Miriam Sanders</w:t>
            </w:r>
          </w:p>
        </w:tc>
      </w:tr>
      <w:tr w:rsidR="00131ACB" w:rsidRPr="000641DF" w14:paraId="697FC535" w14:textId="77777777" w:rsidTr="00626098">
        <w:tc>
          <w:tcPr>
            <w:tcW w:w="4950" w:type="dxa"/>
          </w:tcPr>
          <w:p w14:paraId="03A7F2A4" w14:textId="77777777" w:rsidR="00131ACB" w:rsidRPr="000641DF" w:rsidRDefault="00131ACB" w:rsidP="00626098">
            <w:pPr>
              <w:pStyle w:val="Indent3"/>
              <w:keepNext/>
              <w:spacing w:before="0"/>
              <w:ind w:left="162"/>
              <w:rPr>
                <w:b/>
                <w:sz w:val="20"/>
              </w:rPr>
            </w:pPr>
            <w:r w:rsidRPr="000641DF">
              <w:rPr>
                <w:sz w:val="20"/>
              </w:rPr>
              <w:t>Technical Sessions</w:t>
            </w:r>
          </w:p>
        </w:tc>
        <w:tc>
          <w:tcPr>
            <w:tcW w:w="1980" w:type="dxa"/>
          </w:tcPr>
          <w:p w14:paraId="5D142943" w14:textId="77777777" w:rsidR="00131ACB" w:rsidRPr="000641DF" w:rsidRDefault="00131ACB" w:rsidP="00626098">
            <w:pPr>
              <w:pStyle w:val="Indent3"/>
              <w:keepNext/>
              <w:spacing w:before="0"/>
              <w:ind w:left="0"/>
              <w:rPr>
                <w:sz w:val="20"/>
              </w:rPr>
            </w:pPr>
            <w:r w:rsidRPr="000641DF">
              <w:rPr>
                <w:sz w:val="20"/>
              </w:rPr>
              <w:t>Vijay Vittal</w:t>
            </w:r>
          </w:p>
        </w:tc>
      </w:tr>
      <w:tr w:rsidR="00131ACB" w:rsidRPr="000641DF" w14:paraId="04F57EC2" w14:textId="77777777" w:rsidTr="00626098">
        <w:tc>
          <w:tcPr>
            <w:tcW w:w="4950" w:type="dxa"/>
          </w:tcPr>
          <w:p w14:paraId="65BD623C" w14:textId="77777777" w:rsidR="00131ACB" w:rsidRPr="000641DF" w:rsidRDefault="00131ACB" w:rsidP="00626098">
            <w:pPr>
              <w:pStyle w:val="Indent3"/>
              <w:keepNext/>
              <w:spacing w:before="0"/>
              <w:ind w:left="162"/>
              <w:rPr>
                <w:sz w:val="20"/>
              </w:rPr>
            </w:pPr>
            <w:r w:rsidRPr="000641DF">
              <w:rPr>
                <w:sz w:val="20"/>
              </w:rPr>
              <w:t>Organization &amp; Procedures, O&amp;P</w:t>
            </w:r>
          </w:p>
        </w:tc>
        <w:tc>
          <w:tcPr>
            <w:tcW w:w="1980" w:type="dxa"/>
          </w:tcPr>
          <w:p w14:paraId="2D6E8BCA" w14:textId="77777777" w:rsidR="00131ACB" w:rsidRPr="000641DF" w:rsidRDefault="00131ACB" w:rsidP="00626098">
            <w:pPr>
              <w:pStyle w:val="Indent3"/>
              <w:keepNext/>
              <w:spacing w:before="0"/>
              <w:ind w:left="0"/>
              <w:rPr>
                <w:sz w:val="20"/>
              </w:rPr>
            </w:pPr>
            <w:r w:rsidRPr="000641DF">
              <w:rPr>
                <w:sz w:val="20"/>
              </w:rPr>
              <w:t>Hong Chen</w:t>
            </w:r>
          </w:p>
        </w:tc>
      </w:tr>
      <w:tr w:rsidR="00131ACB" w:rsidRPr="000641DF" w14:paraId="7E5D458C" w14:textId="77777777" w:rsidTr="00626098">
        <w:tc>
          <w:tcPr>
            <w:tcW w:w="4950" w:type="dxa"/>
          </w:tcPr>
          <w:p w14:paraId="590C78B2" w14:textId="77777777" w:rsidR="00131ACB" w:rsidRPr="000641DF" w:rsidRDefault="00131ACB" w:rsidP="00626098">
            <w:pPr>
              <w:pStyle w:val="Indent3"/>
              <w:keepNext/>
              <w:spacing w:before="0"/>
              <w:ind w:left="162"/>
              <w:rPr>
                <w:sz w:val="20"/>
              </w:rPr>
            </w:pPr>
            <w:r w:rsidRPr="000641DF">
              <w:rPr>
                <w:sz w:val="20"/>
              </w:rPr>
              <w:t>Standards Coordinating</w:t>
            </w:r>
          </w:p>
        </w:tc>
        <w:tc>
          <w:tcPr>
            <w:tcW w:w="1980" w:type="dxa"/>
          </w:tcPr>
          <w:p w14:paraId="4E7F228C" w14:textId="77777777" w:rsidR="00131ACB" w:rsidRPr="000641DF" w:rsidRDefault="00131ACB" w:rsidP="00626098">
            <w:pPr>
              <w:pStyle w:val="Indent3"/>
              <w:keepNext/>
              <w:spacing w:before="0"/>
              <w:ind w:left="0"/>
              <w:rPr>
                <w:sz w:val="20"/>
              </w:rPr>
            </w:pPr>
            <w:r w:rsidRPr="000641DF">
              <w:rPr>
                <w:sz w:val="20"/>
              </w:rPr>
              <w:t>Ted Burse</w:t>
            </w:r>
          </w:p>
        </w:tc>
      </w:tr>
      <w:tr w:rsidR="00131ACB" w:rsidRPr="000641DF" w14:paraId="69F26ACF" w14:textId="77777777" w:rsidTr="00626098">
        <w:tc>
          <w:tcPr>
            <w:tcW w:w="4950" w:type="dxa"/>
          </w:tcPr>
          <w:p w14:paraId="5B421341" w14:textId="77777777" w:rsidR="00131ACB" w:rsidRPr="000641DF" w:rsidRDefault="00131ACB" w:rsidP="00626098">
            <w:pPr>
              <w:pStyle w:val="Indent3"/>
              <w:spacing w:before="0"/>
              <w:ind w:left="162"/>
              <w:rPr>
                <w:sz w:val="20"/>
              </w:rPr>
            </w:pPr>
            <w:r w:rsidRPr="000641DF">
              <w:rPr>
                <w:sz w:val="20"/>
              </w:rPr>
              <w:t>Website</w:t>
            </w:r>
          </w:p>
        </w:tc>
        <w:tc>
          <w:tcPr>
            <w:tcW w:w="1980" w:type="dxa"/>
          </w:tcPr>
          <w:p w14:paraId="10E98726" w14:textId="77777777" w:rsidR="00131ACB" w:rsidRPr="000641DF" w:rsidRDefault="00131ACB" w:rsidP="00626098">
            <w:pPr>
              <w:pStyle w:val="Indent3"/>
              <w:spacing w:before="0"/>
              <w:ind w:left="0"/>
              <w:rPr>
                <w:sz w:val="20"/>
              </w:rPr>
            </w:pPr>
            <w:r w:rsidRPr="000641DF">
              <w:rPr>
                <w:sz w:val="20"/>
              </w:rPr>
              <w:t>Dan Toland</w:t>
            </w:r>
          </w:p>
        </w:tc>
      </w:tr>
    </w:tbl>
    <w:p w14:paraId="13F87546" w14:textId="77777777" w:rsidR="00131ACB" w:rsidRDefault="00131ACB" w:rsidP="00131ACB">
      <w:pPr>
        <w:pStyle w:val="Indent3"/>
        <w:spacing w:before="0"/>
        <w:jc w:val="both"/>
      </w:pPr>
    </w:p>
    <w:tbl>
      <w:tblPr>
        <w:tblStyle w:val="TableGrid"/>
        <w:tblW w:w="693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980"/>
      </w:tblGrid>
      <w:tr w:rsidR="00131ACB" w:rsidRPr="0027745D" w14:paraId="3391878B" w14:textId="77777777" w:rsidTr="00626098">
        <w:tc>
          <w:tcPr>
            <w:tcW w:w="4950" w:type="dxa"/>
          </w:tcPr>
          <w:p w14:paraId="3DB7AB63" w14:textId="77777777" w:rsidR="00131ACB" w:rsidRPr="0027745D" w:rsidRDefault="00131ACB" w:rsidP="00626098">
            <w:pPr>
              <w:pStyle w:val="Indent3"/>
              <w:keepNext/>
              <w:spacing w:before="0"/>
              <w:ind w:left="0"/>
              <w:rPr>
                <w:b/>
                <w:sz w:val="20"/>
              </w:rPr>
            </w:pPr>
            <w:r w:rsidRPr="0027745D">
              <w:rPr>
                <w:b/>
                <w:sz w:val="20"/>
              </w:rPr>
              <w:t>COORDINATING COMMITTEES   2018</w:t>
            </w:r>
          </w:p>
        </w:tc>
        <w:tc>
          <w:tcPr>
            <w:tcW w:w="1980" w:type="dxa"/>
          </w:tcPr>
          <w:p w14:paraId="4A36CE34" w14:textId="77777777" w:rsidR="00131ACB" w:rsidRPr="0027745D" w:rsidRDefault="00131ACB" w:rsidP="00626098">
            <w:pPr>
              <w:pStyle w:val="Indent3"/>
              <w:keepNext/>
              <w:spacing w:before="0"/>
              <w:ind w:left="0"/>
              <w:rPr>
                <w:b/>
                <w:sz w:val="20"/>
              </w:rPr>
            </w:pPr>
            <w:r w:rsidRPr="0027745D">
              <w:rPr>
                <w:b/>
                <w:sz w:val="20"/>
              </w:rPr>
              <w:t>Chair</w:t>
            </w:r>
          </w:p>
        </w:tc>
      </w:tr>
      <w:tr w:rsidR="00131ACB" w:rsidRPr="000641DF" w14:paraId="20014BEE" w14:textId="77777777" w:rsidTr="00626098">
        <w:tc>
          <w:tcPr>
            <w:tcW w:w="4950" w:type="dxa"/>
          </w:tcPr>
          <w:p w14:paraId="7109B37D" w14:textId="77777777" w:rsidR="00131ACB" w:rsidRPr="000641DF" w:rsidRDefault="00131ACB" w:rsidP="00626098">
            <w:pPr>
              <w:keepNext/>
              <w:ind w:left="162"/>
            </w:pPr>
            <w:r w:rsidRPr="000641DF">
              <w:t>Intelligent Grid &amp; Emerging Tech., IGETCC</w:t>
            </w:r>
          </w:p>
        </w:tc>
        <w:tc>
          <w:tcPr>
            <w:tcW w:w="1980" w:type="dxa"/>
          </w:tcPr>
          <w:p w14:paraId="1C37B401" w14:textId="77777777" w:rsidR="00131ACB" w:rsidRPr="000641DF" w:rsidRDefault="00131ACB" w:rsidP="00626098">
            <w:pPr>
              <w:keepNext/>
            </w:pPr>
            <w:r w:rsidRPr="000641DF">
              <w:t>Doug Houseman</w:t>
            </w:r>
          </w:p>
        </w:tc>
      </w:tr>
      <w:tr w:rsidR="00131ACB" w:rsidRPr="000641DF" w14:paraId="66C34EFE" w14:textId="77777777" w:rsidTr="00626098">
        <w:tc>
          <w:tcPr>
            <w:tcW w:w="4950" w:type="dxa"/>
          </w:tcPr>
          <w:p w14:paraId="6CCA9A76" w14:textId="77777777" w:rsidR="00131ACB" w:rsidRPr="000641DF" w:rsidRDefault="00131ACB" w:rsidP="00626098">
            <w:pPr>
              <w:keepNext/>
              <w:ind w:left="162"/>
            </w:pPr>
            <w:r w:rsidRPr="000641DF">
              <w:t>Marine Systems, MSCC</w:t>
            </w:r>
          </w:p>
        </w:tc>
        <w:tc>
          <w:tcPr>
            <w:tcW w:w="1980" w:type="dxa"/>
          </w:tcPr>
          <w:p w14:paraId="33949921" w14:textId="77777777" w:rsidR="00131ACB" w:rsidRPr="000641DF" w:rsidRDefault="00131ACB" w:rsidP="00626098">
            <w:pPr>
              <w:keepNext/>
            </w:pPr>
            <w:r w:rsidRPr="000641DF">
              <w:t>Dwight Alexander</w:t>
            </w:r>
          </w:p>
        </w:tc>
      </w:tr>
      <w:tr w:rsidR="00131ACB" w:rsidRPr="000641DF" w14:paraId="296D2F8F" w14:textId="77777777" w:rsidTr="00626098">
        <w:tc>
          <w:tcPr>
            <w:tcW w:w="4950" w:type="dxa"/>
          </w:tcPr>
          <w:p w14:paraId="6DBA5577" w14:textId="77777777" w:rsidR="00131ACB" w:rsidRPr="000641DF" w:rsidRDefault="00131ACB" w:rsidP="00626098">
            <w:pPr>
              <w:ind w:left="162"/>
            </w:pPr>
            <w:r w:rsidRPr="000641DF">
              <w:t>Wind and Solar Power, WSPCC</w:t>
            </w:r>
          </w:p>
        </w:tc>
        <w:tc>
          <w:tcPr>
            <w:tcW w:w="1980" w:type="dxa"/>
          </w:tcPr>
          <w:p w14:paraId="206DA55A" w14:textId="77777777" w:rsidR="00131ACB" w:rsidRPr="000641DF" w:rsidRDefault="00131ACB" w:rsidP="00626098">
            <w:r w:rsidRPr="000641DF">
              <w:t>Debbie Lew</w:t>
            </w:r>
          </w:p>
        </w:tc>
      </w:tr>
    </w:tbl>
    <w:p w14:paraId="5CC64DD3" w14:textId="77777777" w:rsidR="00131ACB" w:rsidRPr="000641DF" w:rsidRDefault="00131ACB" w:rsidP="00131ACB">
      <w:pPr>
        <w:pStyle w:val="Indent3"/>
        <w:spacing w:before="0"/>
        <w:jc w:val="both"/>
      </w:pPr>
    </w:p>
    <w:tbl>
      <w:tblPr>
        <w:tblStyle w:val="TableGrid"/>
        <w:tblW w:w="702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980"/>
      </w:tblGrid>
      <w:tr w:rsidR="00131ACB" w:rsidRPr="000641DF" w14:paraId="2EE69E78" w14:textId="77777777" w:rsidTr="00626098">
        <w:trPr>
          <w:tblHeader/>
        </w:trPr>
        <w:tc>
          <w:tcPr>
            <w:tcW w:w="5040" w:type="dxa"/>
          </w:tcPr>
          <w:p w14:paraId="3EA47F6E" w14:textId="77777777" w:rsidR="00131ACB" w:rsidRPr="0027745D" w:rsidRDefault="00131ACB" w:rsidP="00626098">
            <w:pPr>
              <w:pStyle w:val="Indent3"/>
              <w:keepNext/>
              <w:spacing w:before="0"/>
              <w:ind w:left="0"/>
              <w:rPr>
                <w:b/>
                <w:sz w:val="20"/>
              </w:rPr>
            </w:pPr>
            <w:r w:rsidRPr="0027745D">
              <w:rPr>
                <w:b/>
                <w:sz w:val="20"/>
              </w:rPr>
              <w:t>TECHNICAL COMMITTEES   2018</w:t>
            </w:r>
          </w:p>
        </w:tc>
        <w:tc>
          <w:tcPr>
            <w:tcW w:w="1980" w:type="dxa"/>
          </w:tcPr>
          <w:p w14:paraId="47B96864" w14:textId="77777777" w:rsidR="00131ACB" w:rsidRPr="000641DF" w:rsidRDefault="00131ACB" w:rsidP="00626098">
            <w:pPr>
              <w:pStyle w:val="Indent3"/>
              <w:keepNext/>
              <w:spacing w:before="0"/>
              <w:ind w:left="0"/>
              <w:rPr>
                <w:b/>
                <w:sz w:val="20"/>
              </w:rPr>
            </w:pPr>
            <w:r w:rsidRPr="000641DF">
              <w:rPr>
                <w:b/>
                <w:sz w:val="20"/>
              </w:rPr>
              <w:t>Chair</w:t>
            </w:r>
          </w:p>
        </w:tc>
      </w:tr>
      <w:tr w:rsidR="00131ACB" w:rsidRPr="000641DF" w14:paraId="5AE22B40" w14:textId="77777777" w:rsidTr="00626098">
        <w:tc>
          <w:tcPr>
            <w:tcW w:w="5040" w:type="dxa"/>
          </w:tcPr>
          <w:p w14:paraId="605A28C6" w14:textId="77777777" w:rsidR="00131ACB" w:rsidRPr="00366702" w:rsidRDefault="00131ACB" w:rsidP="00626098">
            <w:pPr>
              <w:ind w:left="162"/>
            </w:pPr>
            <w:r w:rsidRPr="00366702">
              <w:t>Analytical Methods for Power Systems, AMPS</w:t>
            </w:r>
          </w:p>
        </w:tc>
        <w:tc>
          <w:tcPr>
            <w:tcW w:w="1980" w:type="dxa"/>
          </w:tcPr>
          <w:p w14:paraId="7DDB2332" w14:textId="77777777" w:rsidR="00131ACB" w:rsidRPr="00366702" w:rsidRDefault="00131ACB" w:rsidP="00626098">
            <w:r>
              <w:t>Alex Schneider</w:t>
            </w:r>
          </w:p>
        </w:tc>
      </w:tr>
      <w:tr w:rsidR="00131ACB" w:rsidRPr="000641DF" w14:paraId="7D856B0F" w14:textId="77777777" w:rsidTr="00626098">
        <w:tc>
          <w:tcPr>
            <w:tcW w:w="5040" w:type="dxa"/>
          </w:tcPr>
          <w:p w14:paraId="31A21A48" w14:textId="77777777" w:rsidR="00131ACB" w:rsidRPr="00366702" w:rsidRDefault="00131ACB" w:rsidP="00626098">
            <w:pPr>
              <w:ind w:left="162"/>
            </w:pPr>
            <w:r w:rsidRPr="00366702">
              <w:t>Electric Machinery, EM</w:t>
            </w:r>
          </w:p>
        </w:tc>
        <w:tc>
          <w:tcPr>
            <w:tcW w:w="1980" w:type="dxa"/>
          </w:tcPr>
          <w:p w14:paraId="32D70271" w14:textId="77777777" w:rsidR="00131ACB" w:rsidRPr="00366702" w:rsidRDefault="00131ACB" w:rsidP="00626098">
            <w:r w:rsidRPr="00366702">
              <w:t>K</w:t>
            </w:r>
            <w:r>
              <w:t>ay Chen</w:t>
            </w:r>
          </w:p>
        </w:tc>
      </w:tr>
      <w:tr w:rsidR="00131ACB" w:rsidRPr="000641DF" w14:paraId="112B4994" w14:textId="77777777" w:rsidTr="00626098">
        <w:tc>
          <w:tcPr>
            <w:tcW w:w="5040" w:type="dxa"/>
          </w:tcPr>
          <w:p w14:paraId="02691FA1" w14:textId="77777777" w:rsidR="00131ACB" w:rsidRPr="00366702" w:rsidRDefault="00131ACB" w:rsidP="00626098">
            <w:pPr>
              <w:ind w:left="162"/>
            </w:pPr>
            <w:r w:rsidRPr="00366702">
              <w:t>Energy Development &amp; Power Generation, EDPG</w:t>
            </w:r>
          </w:p>
        </w:tc>
        <w:tc>
          <w:tcPr>
            <w:tcW w:w="1980" w:type="dxa"/>
          </w:tcPr>
          <w:p w14:paraId="15EF1CA9" w14:textId="77777777" w:rsidR="00131ACB" w:rsidRPr="00366702" w:rsidRDefault="00131ACB" w:rsidP="00626098">
            <w:r w:rsidRPr="00366702">
              <w:t>Ward Jewell</w:t>
            </w:r>
          </w:p>
        </w:tc>
      </w:tr>
      <w:tr w:rsidR="00131ACB" w:rsidRPr="000641DF" w14:paraId="73545BD3" w14:textId="77777777" w:rsidTr="00626098">
        <w:tc>
          <w:tcPr>
            <w:tcW w:w="5040" w:type="dxa"/>
          </w:tcPr>
          <w:p w14:paraId="44B27680" w14:textId="77777777" w:rsidR="00131ACB" w:rsidRPr="00366702" w:rsidRDefault="00131ACB" w:rsidP="00626098">
            <w:pPr>
              <w:ind w:left="162"/>
            </w:pPr>
            <w:r w:rsidRPr="00366702">
              <w:t>Energy Storage &amp; Stationary Battery, ESSB</w:t>
            </w:r>
          </w:p>
        </w:tc>
        <w:tc>
          <w:tcPr>
            <w:tcW w:w="1980" w:type="dxa"/>
          </w:tcPr>
          <w:p w14:paraId="0D78EE23" w14:textId="77777777" w:rsidR="00131ACB" w:rsidRPr="00366702" w:rsidRDefault="00131ACB" w:rsidP="00626098">
            <w:r w:rsidRPr="00366702">
              <w:t>Chris Searles</w:t>
            </w:r>
          </w:p>
        </w:tc>
      </w:tr>
      <w:tr w:rsidR="00131ACB" w:rsidRPr="000641DF" w14:paraId="146FBAF9" w14:textId="77777777" w:rsidTr="00626098">
        <w:tc>
          <w:tcPr>
            <w:tcW w:w="5040" w:type="dxa"/>
          </w:tcPr>
          <w:p w14:paraId="0653A6D1" w14:textId="77777777" w:rsidR="00131ACB" w:rsidRPr="00366702" w:rsidRDefault="00131ACB" w:rsidP="00626098">
            <w:pPr>
              <w:ind w:left="162"/>
            </w:pPr>
            <w:r w:rsidRPr="00366702">
              <w:lastRenderedPageBreak/>
              <w:t>Insulated Conductors, IC</w:t>
            </w:r>
          </w:p>
        </w:tc>
        <w:tc>
          <w:tcPr>
            <w:tcW w:w="1980" w:type="dxa"/>
          </w:tcPr>
          <w:p w14:paraId="52334876" w14:textId="77777777" w:rsidR="00131ACB" w:rsidRPr="00366702" w:rsidRDefault="00131ACB" w:rsidP="00626098">
            <w:r>
              <w:t>E. Rusty Bascom</w:t>
            </w:r>
          </w:p>
        </w:tc>
      </w:tr>
      <w:tr w:rsidR="00131ACB" w:rsidRPr="000641DF" w14:paraId="636F02EA" w14:textId="77777777" w:rsidTr="00626098">
        <w:tc>
          <w:tcPr>
            <w:tcW w:w="5040" w:type="dxa"/>
          </w:tcPr>
          <w:p w14:paraId="1D64AFB6" w14:textId="77777777" w:rsidR="00131ACB" w:rsidRPr="00366702" w:rsidRDefault="00131ACB" w:rsidP="00626098">
            <w:pPr>
              <w:ind w:left="162"/>
            </w:pPr>
            <w:r w:rsidRPr="00366702">
              <w:t>Nuclear Power Engineering, NPE</w:t>
            </w:r>
          </w:p>
        </w:tc>
        <w:tc>
          <w:tcPr>
            <w:tcW w:w="1980" w:type="dxa"/>
          </w:tcPr>
          <w:p w14:paraId="3AB59702" w14:textId="77777777" w:rsidR="00131ACB" w:rsidRPr="00366702" w:rsidRDefault="00131ACB" w:rsidP="00626098">
            <w:r w:rsidRPr="00366702">
              <w:t>Thomas Koshy</w:t>
            </w:r>
          </w:p>
        </w:tc>
      </w:tr>
      <w:tr w:rsidR="00131ACB" w:rsidRPr="000641DF" w14:paraId="52722F15" w14:textId="77777777" w:rsidTr="00626098">
        <w:tc>
          <w:tcPr>
            <w:tcW w:w="5040" w:type="dxa"/>
          </w:tcPr>
          <w:p w14:paraId="34CFA705" w14:textId="77777777" w:rsidR="00131ACB" w:rsidRPr="00366702" w:rsidRDefault="00131ACB" w:rsidP="00626098">
            <w:pPr>
              <w:ind w:left="162"/>
            </w:pPr>
            <w:r w:rsidRPr="00366702">
              <w:t>Power System Communications &amp; Cybersecurity, PSCC</w:t>
            </w:r>
          </w:p>
        </w:tc>
        <w:tc>
          <w:tcPr>
            <w:tcW w:w="1980" w:type="dxa"/>
          </w:tcPr>
          <w:p w14:paraId="1D4746C2" w14:textId="77777777" w:rsidR="00131ACB" w:rsidRPr="00366702" w:rsidRDefault="00131ACB" w:rsidP="00626098">
            <w:r w:rsidRPr="00366702">
              <w:t xml:space="preserve">Mike </w:t>
            </w:r>
            <w:proofErr w:type="spellStart"/>
            <w:r w:rsidRPr="00366702">
              <w:t>Doo</w:t>
            </w:r>
            <w:r>
              <w:t>d</w:t>
            </w:r>
            <w:proofErr w:type="spellEnd"/>
          </w:p>
        </w:tc>
      </w:tr>
      <w:tr w:rsidR="00131ACB" w:rsidRPr="000641DF" w14:paraId="16BA8231" w14:textId="77777777" w:rsidTr="00626098">
        <w:tc>
          <w:tcPr>
            <w:tcW w:w="5040" w:type="dxa"/>
          </w:tcPr>
          <w:p w14:paraId="018511B9" w14:textId="77777777" w:rsidR="00131ACB" w:rsidRPr="00366702" w:rsidRDefault="00131ACB" w:rsidP="00626098">
            <w:pPr>
              <w:ind w:left="162"/>
            </w:pPr>
            <w:r w:rsidRPr="00366702">
              <w:t>Power System Dynamic Performance, PSDP</w:t>
            </w:r>
          </w:p>
        </w:tc>
        <w:tc>
          <w:tcPr>
            <w:tcW w:w="1980" w:type="dxa"/>
          </w:tcPr>
          <w:p w14:paraId="6905988F" w14:textId="77777777" w:rsidR="00131ACB" w:rsidRPr="00366702" w:rsidRDefault="00131ACB" w:rsidP="00626098">
            <w:r w:rsidRPr="00366702">
              <w:t xml:space="preserve">Claudio </w:t>
            </w:r>
            <w:proofErr w:type="spellStart"/>
            <w:r w:rsidRPr="00366702">
              <w:t>Canizares</w:t>
            </w:r>
            <w:proofErr w:type="spellEnd"/>
          </w:p>
        </w:tc>
      </w:tr>
      <w:tr w:rsidR="00131ACB" w:rsidRPr="000641DF" w14:paraId="18C4DA4F" w14:textId="77777777" w:rsidTr="00626098">
        <w:tc>
          <w:tcPr>
            <w:tcW w:w="5040" w:type="dxa"/>
          </w:tcPr>
          <w:p w14:paraId="0C214162" w14:textId="77777777" w:rsidR="00131ACB" w:rsidRPr="00366702" w:rsidRDefault="00131ACB" w:rsidP="00626098">
            <w:pPr>
              <w:ind w:left="162"/>
            </w:pPr>
            <w:r w:rsidRPr="00366702">
              <w:t>Power System Instrumentation &amp; Measurements, PSIM</w:t>
            </w:r>
          </w:p>
        </w:tc>
        <w:tc>
          <w:tcPr>
            <w:tcW w:w="1980" w:type="dxa"/>
          </w:tcPr>
          <w:p w14:paraId="72D60D30" w14:textId="77777777" w:rsidR="00131ACB" w:rsidRPr="00366702" w:rsidRDefault="00131ACB" w:rsidP="00626098">
            <w:r>
              <w:t xml:space="preserve">Ernst </w:t>
            </w:r>
            <w:proofErr w:type="spellStart"/>
            <w:r>
              <w:t>Hanique</w:t>
            </w:r>
            <w:proofErr w:type="spellEnd"/>
          </w:p>
        </w:tc>
      </w:tr>
      <w:tr w:rsidR="00131ACB" w:rsidRPr="000641DF" w14:paraId="5DCC0E7D" w14:textId="77777777" w:rsidTr="00626098">
        <w:tc>
          <w:tcPr>
            <w:tcW w:w="5040" w:type="dxa"/>
          </w:tcPr>
          <w:p w14:paraId="52F7C384" w14:textId="77777777" w:rsidR="00131ACB" w:rsidRPr="00366702" w:rsidRDefault="00131ACB" w:rsidP="00626098">
            <w:pPr>
              <w:ind w:left="162"/>
            </w:pPr>
            <w:r w:rsidRPr="00366702">
              <w:t>Power System Operation Planning &amp; Economics, PSOPE</w:t>
            </w:r>
          </w:p>
        </w:tc>
        <w:tc>
          <w:tcPr>
            <w:tcW w:w="1980" w:type="dxa"/>
          </w:tcPr>
          <w:p w14:paraId="06148F59" w14:textId="77777777" w:rsidR="00131ACB" w:rsidRPr="00366702" w:rsidRDefault="00131ACB" w:rsidP="00626098">
            <w:r>
              <w:t>Luiz Barroso</w:t>
            </w:r>
          </w:p>
        </w:tc>
      </w:tr>
      <w:tr w:rsidR="00131ACB" w:rsidRPr="000641DF" w14:paraId="25A1D393" w14:textId="77777777" w:rsidTr="00626098">
        <w:tc>
          <w:tcPr>
            <w:tcW w:w="5040" w:type="dxa"/>
          </w:tcPr>
          <w:p w14:paraId="7854C459" w14:textId="77777777" w:rsidR="00131ACB" w:rsidRPr="00366702" w:rsidRDefault="00131ACB" w:rsidP="00626098">
            <w:pPr>
              <w:ind w:left="162"/>
            </w:pPr>
            <w:r w:rsidRPr="00366702">
              <w:t>Power System Relaying &amp; Control, PSR</w:t>
            </w:r>
          </w:p>
        </w:tc>
        <w:tc>
          <w:tcPr>
            <w:tcW w:w="1980" w:type="dxa"/>
          </w:tcPr>
          <w:p w14:paraId="66FD7C98" w14:textId="77777777" w:rsidR="00131ACB" w:rsidRPr="00366702" w:rsidRDefault="00131ACB" w:rsidP="00626098">
            <w:r w:rsidRPr="00366702">
              <w:t>Pratap Mysore</w:t>
            </w:r>
          </w:p>
        </w:tc>
      </w:tr>
      <w:tr w:rsidR="00131ACB" w:rsidRPr="000641DF" w14:paraId="581F5D1D" w14:textId="77777777" w:rsidTr="00626098">
        <w:tc>
          <w:tcPr>
            <w:tcW w:w="5040" w:type="dxa"/>
          </w:tcPr>
          <w:p w14:paraId="4C3E67A6" w14:textId="77777777" w:rsidR="00131ACB" w:rsidRPr="00366702" w:rsidRDefault="00131ACB" w:rsidP="00626098">
            <w:pPr>
              <w:ind w:left="162"/>
            </w:pPr>
            <w:r w:rsidRPr="00366702">
              <w:t>Smart Buildings Loads &amp; Customer Systems, SLCS</w:t>
            </w:r>
          </w:p>
        </w:tc>
        <w:tc>
          <w:tcPr>
            <w:tcW w:w="1980" w:type="dxa"/>
          </w:tcPr>
          <w:p w14:paraId="111B1C75" w14:textId="77777777" w:rsidR="00131ACB" w:rsidRPr="00366702" w:rsidRDefault="00131ACB" w:rsidP="00626098">
            <w:r w:rsidRPr="00366702">
              <w:t>Shawn Chandler</w:t>
            </w:r>
          </w:p>
        </w:tc>
      </w:tr>
      <w:tr w:rsidR="00131ACB" w:rsidRPr="000641DF" w14:paraId="31ADEE1A" w14:textId="77777777" w:rsidTr="00626098">
        <w:tc>
          <w:tcPr>
            <w:tcW w:w="5040" w:type="dxa"/>
          </w:tcPr>
          <w:p w14:paraId="46440C9C" w14:textId="77777777" w:rsidR="00131ACB" w:rsidRPr="00366702" w:rsidRDefault="00131ACB" w:rsidP="00626098">
            <w:pPr>
              <w:ind w:left="162"/>
            </w:pPr>
            <w:r w:rsidRPr="00366702">
              <w:t>Substations, SUB</w:t>
            </w:r>
          </w:p>
        </w:tc>
        <w:tc>
          <w:tcPr>
            <w:tcW w:w="1980" w:type="dxa"/>
          </w:tcPr>
          <w:p w14:paraId="3BA485CD" w14:textId="77777777" w:rsidR="00131ACB" w:rsidRPr="00366702" w:rsidRDefault="00131ACB" w:rsidP="00626098">
            <w:r w:rsidRPr="00366702">
              <w:t>Diane Watkins</w:t>
            </w:r>
          </w:p>
        </w:tc>
      </w:tr>
      <w:tr w:rsidR="00131ACB" w:rsidRPr="000641DF" w14:paraId="1E064970" w14:textId="77777777" w:rsidTr="00626098">
        <w:tc>
          <w:tcPr>
            <w:tcW w:w="5040" w:type="dxa"/>
          </w:tcPr>
          <w:p w14:paraId="7894331C" w14:textId="77777777" w:rsidR="00131ACB" w:rsidRPr="00366702" w:rsidRDefault="00131ACB" w:rsidP="00626098">
            <w:pPr>
              <w:ind w:left="162"/>
            </w:pPr>
            <w:r w:rsidRPr="00366702">
              <w:t>Surge Protective Devices, SPD</w:t>
            </w:r>
          </w:p>
        </w:tc>
        <w:tc>
          <w:tcPr>
            <w:tcW w:w="1980" w:type="dxa"/>
          </w:tcPr>
          <w:p w14:paraId="6879A6F1" w14:textId="77777777" w:rsidR="00131ACB" w:rsidRPr="00366702" w:rsidRDefault="00131ACB" w:rsidP="00626098">
            <w:r w:rsidRPr="00366702">
              <w:t>Ronald Hotchkiss</w:t>
            </w:r>
          </w:p>
        </w:tc>
      </w:tr>
      <w:tr w:rsidR="00131ACB" w:rsidRPr="000641DF" w14:paraId="6607A193" w14:textId="77777777" w:rsidTr="00626098">
        <w:tc>
          <w:tcPr>
            <w:tcW w:w="5040" w:type="dxa"/>
          </w:tcPr>
          <w:p w14:paraId="723C1803" w14:textId="77777777" w:rsidR="00131ACB" w:rsidRPr="00366702" w:rsidRDefault="00131ACB" w:rsidP="00626098">
            <w:pPr>
              <w:ind w:left="162"/>
            </w:pPr>
            <w:r w:rsidRPr="00366702">
              <w:t>Switchgear, SWGR</w:t>
            </w:r>
          </w:p>
        </w:tc>
        <w:tc>
          <w:tcPr>
            <w:tcW w:w="1980" w:type="dxa"/>
          </w:tcPr>
          <w:p w14:paraId="0672327D" w14:textId="77777777" w:rsidR="00131ACB" w:rsidRPr="00366702" w:rsidRDefault="00131ACB" w:rsidP="00626098">
            <w:r>
              <w:t>T Irwin</w:t>
            </w:r>
          </w:p>
        </w:tc>
      </w:tr>
      <w:tr w:rsidR="00131ACB" w:rsidRPr="000641DF" w14:paraId="6971E78D" w14:textId="77777777" w:rsidTr="00626098">
        <w:tc>
          <w:tcPr>
            <w:tcW w:w="5040" w:type="dxa"/>
          </w:tcPr>
          <w:p w14:paraId="4DCE7F22" w14:textId="77777777" w:rsidR="00131ACB" w:rsidRPr="00366702" w:rsidRDefault="00131ACB" w:rsidP="00626098">
            <w:pPr>
              <w:ind w:left="162"/>
            </w:pPr>
            <w:r w:rsidRPr="00366702">
              <w:t>Transformers. TRANS</w:t>
            </w:r>
          </w:p>
        </w:tc>
        <w:tc>
          <w:tcPr>
            <w:tcW w:w="1980" w:type="dxa"/>
          </w:tcPr>
          <w:p w14:paraId="05F0296D" w14:textId="77777777" w:rsidR="00131ACB" w:rsidRPr="00366702" w:rsidRDefault="00131ACB" w:rsidP="00626098">
            <w:r w:rsidRPr="00366702">
              <w:t>S</w:t>
            </w:r>
            <w:r>
              <w:t>usan McNelly</w:t>
            </w:r>
          </w:p>
        </w:tc>
      </w:tr>
      <w:tr w:rsidR="00131ACB" w:rsidRPr="000641DF" w14:paraId="661F7854" w14:textId="77777777" w:rsidTr="00626098">
        <w:tc>
          <w:tcPr>
            <w:tcW w:w="5040" w:type="dxa"/>
          </w:tcPr>
          <w:p w14:paraId="51CD0BD3" w14:textId="77777777" w:rsidR="00131ACB" w:rsidRPr="00366702" w:rsidRDefault="00131ACB" w:rsidP="00626098">
            <w:pPr>
              <w:ind w:left="162"/>
            </w:pPr>
            <w:r w:rsidRPr="00366702">
              <w:t>Transmission and Distribution, T&amp;D</w:t>
            </w:r>
          </w:p>
        </w:tc>
        <w:tc>
          <w:tcPr>
            <w:tcW w:w="1980" w:type="dxa"/>
          </w:tcPr>
          <w:p w14:paraId="424B844E" w14:textId="77777777" w:rsidR="00131ACB" w:rsidRDefault="00131ACB" w:rsidP="00626098">
            <w:r>
              <w:t>Gary Chang</w:t>
            </w:r>
          </w:p>
        </w:tc>
      </w:tr>
    </w:tbl>
    <w:p w14:paraId="6058201B" w14:textId="77777777" w:rsidR="00131ACB" w:rsidRPr="004679A7" w:rsidRDefault="00131ACB" w:rsidP="00131ACB">
      <w:pPr>
        <w:pStyle w:val="Heading3"/>
      </w:pPr>
      <w:r w:rsidRPr="004679A7">
        <w:t>PES Technical Council Activities</w:t>
      </w:r>
    </w:p>
    <w:p w14:paraId="2FD493BC" w14:textId="3DAEE298" w:rsidR="00131ACB" w:rsidRPr="000A1324" w:rsidRDefault="00131ACB" w:rsidP="00131ACB">
      <w:pPr>
        <w:pStyle w:val="Indent3"/>
        <w:jc w:val="both"/>
      </w:pPr>
      <w:r w:rsidRPr="000A1324">
        <w:t>Joint Technical Committee, JTCM</w:t>
      </w:r>
      <w:r w:rsidR="00EA0973">
        <w:t xml:space="preserve"> </w:t>
      </w:r>
      <w:proofErr w:type="spellStart"/>
      <w:r w:rsidR="00EA0973">
        <w:t>Webex</w:t>
      </w:r>
      <w:proofErr w:type="spellEnd"/>
      <w:r w:rsidR="00EA0973">
        <w:t xml:space="preserve"> </w:t>
      </w:r>
      <w:r w:rsidR="00EA0973" w:rsidRPr="000A1324">
        <w:t>Meeting</w:t>
      </w:r>
      <w:r w:rsidR="00EA0973">
        <w:t>,</w:t>
      </w:r>
      <w:r w:rsidRPr="000A1324">
        <w:t xml:space="preserve"> </w:t>
      </w:r>
      <w:r w:rsidR="00EA0973">
        <w:t>July 11</w:t>
      </w:r>
      <w:r w:rsidRPr="000A1324">
        <w:t>, 201</w:t>
      </w:r>
      <w:r w:rsidR="00EA0973">
        <w:t>8</w:t>
      </w:r>
      <w:r w:rsidRPr="000A1324">
        <w:t xml:space="preserve">.  </w:t>
      </w:r>
    </w:p>
    <w:p w14:paraId="7A6A6C69" w14:textId="10CFC194" w:rsidR="00EA0973" w:rsidRDefault="00EA0973" w:rsidP="00131ACB">
      <w:pPr>
        <w:pStyle w:val="Indent3"/>
        <w:spacing w:before="240"/>
        <w:jc w:val="both"/>
      </w:pPr>
      <w:r>
        <w:t xml:space="preserve">Angie Rajski </w:t>
      </w:r>
      <w:proofErr w:type="spellStart"/>
      <w:r>
        <w:t>Parashis</w:t>
      </w:r>
      <w:proofErr w:type="spellEnd"/>
      <w:r>
        <w:t xml:space="preserve"> – Technical Council and Committees – New PES Staff Support and Liaison to IEEE PES was introduced.  She indicated that she plans to</w:t>
      </w:r>
      <w:r w:rsidR="002A1F35">
        <w:t xml:space="preserve"> work with </w:t>
      </w:r>
      <w:r>
        <w:t>Technical Council leadership and to facilitate relationships with the Technical Committees.</w:t>
      </w:r>
    </w:p>
    <w:p w14:paraId="7937BDAD" w14:textId="395B31E0" w:rsidR="00EA0973" w:rsidRDefault="00EA0973" w:rsidP="00131ACB">
      <w:pPr>
        <w:pStyle w:val="Indent3"/>
        <w:spacing w:before="240"/>
        <w:jc w:val="both"/>
      </w:pPr>
      <w:r>
        <w:t xml:space="preserve">The next Technical Council retreat that will be attended by the Transformer Committee Chair will be held 11/29 – 11/30/2018 in Scottsdale, Arizona. </w:t>
      </w:r>
    </w:p>
    <w:p w14:paraId="121FE222" w14:textId="6D2FBFB9" w:rsidR="002F2E33" w:rsidRDefault="002F2E33" w:rsidP="00131ACB">
      <w:pPr>
        <w:pStyle w:val="Indent3"/>
        <w:spacing w:before="240"/>
        <w:jc w:val="both"/>
      </w:pPr>
      <w:r>
        <w:t>The next JTCM meeting will be held in January 13 – 17, 2019 in Garden Grove, California.</w:t>
      </w:r>
    </w:p>
    <w:p w14:paraId="0E79AEB3" w14:textId="5DD92BC4" w:rsidR="002F2E33" w:rsidRDefault="002F2E33" w:rsidP="00131ACB">
      <w:pPr>
        <w:pStyle w:val="Indent3"/>
        <w:spacing w:before="240"/>
        <w:jc w:val="both"/>
      </w:pPr>
      <w:r>
        <w:t>IEEE PES will be developing a Topics Calendar to encourage the curation of new content from the Technical Committees.  The calendar will allow for the solicitation of new presenters and authors across all product areas of PES.  It will include, but not be limited to, reports, guides, standards, webinars, tutorials, articles, workshops, etc.  This effort will require the coll</w:t>
      </w:r>
      <w:r w:rsidR="002A1F35">
        <w:t>aboration of many groups within</w:t>
      </w:r>
      <w:r>
        <w:t xml:space="preserve"> IEEE PES.</w:t>
      </w:r>
    </w:p>
    <w:p w14:paraId="7B3FB0E7" w14:textId="13868818" w:rsidR="00463F32" w:rsidRDefault="00463F32" w:rsidP="00131ACB">
      <w:pPr>
        <w:pStyle w:val="Indent3"/>
        <w:spacing w:before="240"/>
        <w:jc w:val="both"/>
      </w:pPr>
      <w:r>
        <w:t xml:space="preserve">The Technical Council is also looking to create an inventory of completed content on the Technical Committee websites.  They are also looking to make the look and feel of the Technical Committee websites more </w:t>
      </w:r>
      <w:r w:rsidR="004F1ECD">
        <w:t xml:space="preserve">consistent.  How this will affect the Transformers Committee website will be discussed in section </w:t>
      </w:r>
      <w:r w:rsidR="002A1F35">
        <w:t>4.2.9</w:t>
      </w:r>
      <w:r w:rsidR="004F1ECD">
        <w:t xml:space="preserve"> of this report.</w:t>
      </w:r>
    </w:p>
    <w:p w14:paraId="7E4A501B" w14:textId="77777777" w:rsidR="00131ACB" w:rsidRPr="004679A7" w:rsidRDefault="00131ACB" w:rsidP="00131ACB">
      <w:pPr>
        <w:pStyle w:val="Heading2"/>
      </w:pPr>
      <w:r w:rsidRPr="004679A7">
        <w:lastRenderedPageBreak/>
        <w:t>Transformers Committee Activities</w:t>
      </w:r>
    </w:p>
    <w:p w14:paraId="6BCD6706" w14:textId="3E0D827C" w:rsidR="00131ACB" w:rsidRPr="0042469D" w:rsidRDefault="004F1ECD" w:rsidP="00131ACB">
      <w:pPr>
        <w:pStyle w:val="Indent3"/>
        <w:spacing w:before="240"/>
        <w:jc w:val="both"/>
      </w:pPr>
      <w:r w:rsidRPr="0042469D">
        <w:t xml:space="preserve">Steve Shull will be stepping down as Distribution Transformer SC Chair.  He will be replaced </w:t>
      </w:r>
      <w:r w:rsidR="0042469D" w:rsidRPr="0042469D">
        <w:t xml:space="preserve">by J Ed Smith.  </w:t>
      </w:r>
      <w:r w:rsidR="00131ACB" w:rsidRPr="0042469D">
        <w:t xml:space="preserve"> </w:t>
      </w:r>
    </w:p>
    <w:p w14:paraId="12EE3860" w14:textId="77777777" w:rsidR="00131ACB" w:rsidRPr="00520192" w:rsidRDefault="00131ACB" w:rsidP="00131ACB">
      <w:pPr>
        <w:pStyle w:val="Heading3"/>
      </w:pPr>
      <w:proofErr w:type="gramStart"/>
      <w:r w:rsidRPr="00520192">
        <w:t>Liaison Representatives - Appointed by Committee Chair.</w:t>
      </w:r>
      <w:proofErr w:type="gramEnd"/>
    </w:p>
    <w:p w14:paraId="3BA04309" w14:textId="6618FF0B" w:rsidR="00520192" w:rsidRPr="00520192" w:rsidRDefault="00520192" w:rsidP="00131ACB">
      <w:pPr>
        <w:pStyle w:val="ListParagraph"/>
        <w:numPr>
          <w:ilvl w:val="0"/>
          <w:numId w:val="30"/>
        </w:numPr>
        <w:autoSpaceDE w:val="0"/>
        <w:autoSpaceDN w:val="0"/>
        <w:spacing w:before="0" w:line="240" w:lineRule="auto"/>
        <w:ind w:left="1080"/>
        <w:rPr>
          <w:rFonts w:ascii="Times New Roman" w:hAnsi="Times New Roman"/>
        </w:rPr>
      </w:pPr>
      <w:r w:rsidRPr="00520192">
        <w:rPr>
          <w:rFonts w:ascii="Times New Roman" w:hAnsi="Times New Roman"/>
        </w:rPr>
        <w:t>ASTM</w:t>
      </w:r>
      <w:r w:rsidR="00DE58F2">
        <w:rPr>
          <w:rFonts w:ascii="Times New Roman" w:hAnsi="Times New Roman"/>
        </w:rPr>
        <w:t xml:space="preserve"> D27</w:t>
      </w:r>
      <w:bookmarkStart w:id="2" w:name="_GoBack"/>
      <w:bookmarkEnd w:id="2"/>
      <w:r w:rsidRPr="00520192">
        <w:rPr>
          <w:rFonts w:ascii="Times New Roman" w:hAnsi="Times New Roman"/>
        </w:rPr>
        <w:t xml:space="preserve"> – Tom Prevost</w:t>
      </w:r>
    </w:p>
    <w:p w14:paraId="57F567E8" w14:textId="7DB8F51D" w:rsidR="00131ACB" w:rsidRPr="00520192" w:rsidRDefault="00131ACB" w:rsidP="00131ACB">
      <w:pPr>
        <w:pStyle w:val="ListParagraph"/>
        <w:numPr>
          <w:ilvl w:val="0"/>
          <w:numId w:val="30"/>
        </w:numPr>
        <w:autoSpaceDE w:val="0"/>
        <w:autoSpaceDN w:val="0"/>
        <w:spacing w:before="0" w:line="240" w:lineRule="auto"/>
        <w:ind w:left="1080"/>
        <w:rPr>
          <w:rFonts w:ascii="Times New Roman" w:hAnsi="Times New Roman"/>
        </w:rPr>
      </w:pPr>
      <w:r w:rsidRPr="00520192">
        <w:rPr>
          <w:rFonts w:ascii="Times New Roman" w:hAnsi="Times New Roman"/>
        </w:rPr>
        <w:t xml:space="preserve">CIGRE </w:t>
      </w:r>
      <w:r w:rsidR="00520192" w:rsidRPr="00520192">
        <w:rPr>
          <w:rFonts w:ascii="Times New Roman" w:hAnsi="Times New Roman"/>
        </w:rPr>
        <w:t>–</w:t>
      </w:r>
      <w:r w:rsidRPr="00520192">
        <w:rPr>
          <w:rFonts w:ascii="Times New Roman" w:hAnsi="Times New Roman"/>
        </w:rPr>
        <w:t xml:space="preserve"> </w:t>
      </w:r>
      <w:r w:rsidR="00520192" w:rsidRPr="00520192">
        <w:rPr>
          <w:rFonts w:ascii="Times New Roman" w:hAnsi="Times New Roman"/>
        </w:rPr>
        <w:t>Craig Swinderman</w:t>
      </w:r>
    </w:p>
    <w:p w14:paraId="7CA00F7C" w14:textId="77777777" w:rsidR="00131ACB" w:rsidRPr="00520192" w:rsidRDefault="00131ACB" w:rsidP="00131ACB">
      <w:pPr>
        <w:pStyle w:val="ListParagraph"/>
        <w:numPr>
          <w:ilvl w:val="0"/>
          <w:numId w:val="30"/>
        </w:numPr>
        <w:autoSpaceDE w:val="0"/>
        <w:autoSpaceDN w:val="0"/>
        <w:spacing w:before="0" w:line="240" w:lineRule="auto"/>
        <w:ind w:left="1080"/>
        <w:rPr>
          <w:rFonts w:ascii="Times New Roman" w:hAnsi="Times New Roman"/>
        </w:rPr>
      </w:pPr>
      <w:r w:rsidRPr="00520192">
        <w:rPr>
          <w:rFonts w:ascii="Times New Roman" w:hAnsi="Times New Roman"/>
        </w:rPr>
        <w:t xml:space="preserve">IEC TC-14 - Phil Hopkinson </w:t>
      </w:r>
    </w:p>
    <w:p w14:paraId="237F10F1" w14:textId="77777777" w:rsidR="00131ACB" w:rsidRPr="00520192" w:rsidRDefault="00131ACB" w:rsidP="00131ACB">
      <w:pPr>
        <w:pStyle w:val="ListParagraph"/>
        <w:numPr>
          <w:ilvl w:val="0"/>
          <w:numId w:val="30"/>
        </w:numPr>
        <w:autoSpaceDE w:val="0"/>
        <w:autoSpaceDN w:val="0"/>
        <w:spacing w:before="0" w:line="240" w:lineRule="auto"/>
        <w:ind w:left="1080"/>
        <w:rPr>
          <w:rFonts w:ascii="Times New Roman" w:hAnsi="Times New Roman"/>
        </w:rPr>
      </w:pPr>
      <w:r w:rsidRPr="00520192">
        <w:rPr>
          <w:rFonts w:ascii="Times New Roman" w:hAnsi="Times New Roman"/>
        </w:rPr>
        <w:t>Standards Coordinating Committee, SCC No. 18 (NFPA/NEC) – David Brender</w:t>
      </w:r>
    </w:p>
    <w:p w14:paraId="5CB9C1FE" w14:textId="77777777" w:rsidR="00131ACB" w:rsidRPr="00520192" w:rsidRDefault="00131ACB" w:rsidP="00131ACB">
      <w:pPr>
        <w:pStyle w:val="ListParagraph"/>
        <w:numPr>
          <w:ilvl w:val="0"/>
          <w:numId w:val="30"/>
        </w:numPr>
        <w:autoSpaceDE w:val="0"/>
        <w:autoSpaceDN w:val="0"/>
        <w:spacing w:before="0" w:line="240" w:lineRule="auto"/>
        <w:ind w:left="1080"/>
        <w:rPr>
          <w:rFonts w:ascii="Times New Roman" w:hAnsi="Times New Roman"/>
        </w:rPr>
      </w:pPr>
      <w:r w:rsidRPr="00520192">
        <w:rPr>
          <w:rFonts w:ascii="Times New Roman" w:hAnsi="Times New Roman"/>
        </w:rPr>
        <w:t xml:space="preserve">Standards Coordinating Committee, SCC No. 4 (Electrical Insulation) - </w:t>
      </w:r>
      <w:proofErr w:type="spellStart"/>
      <w:r w:rsidRPr="00520192">
        <w:rPr>
          <w:rFonts w:ascii="Times New Roman" w:hAnsi="Times New Roman"/>
        </w:rPr>
        <w:t>Evanne</w:t>
      </w:r>
      <w:proofErr w:type="spellEnd"/>
      <w:r w:rsidRPr="00520192">
        <w:rPr>
          <w:rFonts w:ascii="Times New Roman" w:hAnsi="Times New Roman"/>
        </w:rPr>
        <w:t xml:space="preserve"> Wang</w:t>
      </w:r>
    </w:p>
    <w:p w14:paraId="7FB52642" w14:textId="77777777" w:rsidR="00131ACB" w:rsidRPr="00520192" w:rsidRDefault="00131ACB" w:rsidP="00131ACB">
      <w:pPr>
        <w:pStyle w:val="Heading3"/>
      </w:pPr>
      <w:r w:rsidRPr="00520192">
        <w:t>Committee Schedule</w:t>
      </w:r>
    </w:p>
    <w:p w14:paraId="6389B1F4" w14:textId="04082793" w:rsidR="00131ACB" w:rsidRPr="00520192" w:rsidRDefault="00520192" w:rsidP="00131ACB">
      <w:pPr>
        <w:pStyle w:val="Indent3"/>
        <w:jc w:val="both"/>
      </w:pPr>
      <w:r w:rsidRPr="00520192">
        <w:t>Jerry Murphy has volunteered to manage the Committee Meeting Schedule.  Please send meeting time slot updates and requests to Jerry going forward.</w:t>
      </w:r>
    </w:p>
    <w:p w14:paraId="347CC0C6" w14:textId="77777777" w:rsidR="00131ACB" w:rsidRPr="00520192" w:rsidRDefault="00131ACB" w:rsidP="00131ACB">
      <w:pPr>
        <w:pStyle w:val="Heading3"/>
      </w:pPr>
      <w:r w:rsidRPr="00520192">
        <w:t>RFID</w:t>
      </w:r>
    </w:p>
    <w:p w14:paraId="30FC2B52" w14:textId="04F3BF4B" w:rsidR="00131ACB" w:rsidRPr="00520192" w:rsidRDefault="00131ACB" w:rsidP="00131ACB">
      <w:pPr>
        <w:pStyle w:val="Indent3"/>
        <w:jc w:val="both"/>
      </w:pPr>
      <w:r w:rsidRPr="00520192">
        <w:t xml:space="preserve">RFID tags on the name badges will be used for the </w:t>
      </w:r>
      <w:r w:rsidR="00520192" w:rsidRPr="00520192">
        <w:t>Jacksonville</w:t>
      </w:r>
      <w:r w:rsidRPr="00520192">
        <w:t xml:space="preserve"> meeting in a similar manner as past meetings.  Kris Zibert will be managing the RFID programming</w:t>
      </w:r>
      <w:r w:rsidR="00520192" w:rsidRPr="00520192">
        <w:t xml:space="preserve"> during the meeting</w:t>
      </w:r>
      <w:r w:rsidRPr="00520192">
        <w:t>.  Please make sure that contact information that will be sent out with the preliminary schedule before each meeting is kept current.</w:t>
      </w:r>
    </w:p>
    <w:p w14:paraId="5516B5E4" w14:textId="77777777" w:rsidR="00131ACB" w:rsidRPr="00520192" w:rsidRDefault="00131ACB" w:rsidP="00131ACB">
      <w:pPr>
        <w:pStyle w:val="Heading3"/>
      </w:pPr>
      <w:r w:rsidRPr="00520192">
        <w:t>Thursday morning Tutorials and Webinar opportunities</w:t>
      </w:r>
    </w:p>
    <w:p w14:paraId="634CC225" w14:textId="0BE212C3" w:rsidR="00131ACB" w:rsidRPr="00520192" w:rsidRDefault="00131ACB" w:rsidP="00131ACB">
      <w:pPr>
        <w:pStyle w:val="Indent3"/>
        <w:jc w:val="both"/>
      </w:pPr>
      <w:r w:rsidRPr="00520192">
        <w:t xml:space="preserve">Tom Prevost is coordination </w:t>
      </w:r>
      <w:r w:rsidR="00520192" w:rsidRPr="00520192">
        <w:t>topics for the Thursday morning tutorials</w:t>
      </w:r>
      <w:r w:rsidRPr="00520192">
        <w:t xml:space="preserve">.  If interested, see Tom or any of the officers.  Any feedback by attendees is welcome.  </w:t>
      </w:r>
    </w:p>
    <w:p w14:paraId="12C0E8E0" w14:textId="4EEB452B" w:rsidR="00131ACB" w:rsidRPr="00534BF7" w:rsidRDefault="00131ACB" w:rsidP="00131ACB">
      <w:pPr>
        <w:pStyle w:val="Indent3"/>
        <w:spacing w:before="240"/>
        <w:jc w:val="both"/>
      </w:pPr>
      <w:r w:rsidRPr="00520192">
        <w:t xml:space="preserve">IEEE PES </w:t>
      </w:r>
      <w:r w:rsidR="00520192" w:rsidRPr="00520192">
        <w:t xml:space="preserve">continues to request </w:t>
      </w:r>
      <w:r w:rsidRPr="00520192">
        <w:t xml:space="preserve">that each of the Technical Committees offer Webinar opportunities regarding our standards work.  </w:t>
      </w:r>
    </w:p>
    <w:p w14:paraId="0DB28E47" w14:textId="77777777" w:rsidR="00131ACB" w:rsidRPr="000D5244" w:rsidRDefault="00131ACB" w:rsidP="00131ACB">
      <w:pPr>
        <w:pStyle w:val="Heading3"/>
      </w:pPr>
      <w:r w:rsidRPr="000D5244">
        <w:t>Association Management System, 123 Signup</w:t>
      </w:r>
    </w:p>
    <w:p w14:paraId="1608F66A" w14:textId="14708BF7" w:rsidR="00131ACB" w:rsidRDefault="00131ACB" w:rsidP="00131ACB">
      <w:pPr>
        <w:pStyle w:val="Indent3"/>
        <w:jc w:val="both"/>
      </w:pPr>
      <w:r w:rsidRPr="00534BF7">
        <w:t xml:space="preserve">All WG’s should be using AMS to track their membership and meeting attendance.  </w:t>
      </w:r>
      <w:proofErr w:type="gramStart"/>
      <w:r w:rsidRPr="00534BF7">
        <w:t xml:space="preserve">If </w:t>
      </w:r>
      <w:r>
        <w:t xml:space="preserve">you are </w:t>
      </w:r>
      <w:r w:rsidRPr="00534BF7">
        <w:t xml:space="preserve">unable to so, please assign it to someone </w:t>
      </w:r>
      <w:r>
        <w:t>in your group</w:t>
      </w:r>
      <w:r w:rsidRPr="00534BF7">
        <w:t>.</w:t>
      </w:r>
      <w:proofErr w:type="gramEnd"/>
      <w:r w:rsidR="002F2E33">
        <w:t xml:space="preserve">  In addition to using the AMS, a list of names and affiliations must be included in the meeting minutes.</w:t>
      </w:r>
    </w:p>
    <w:p w14:paraId="70E1F1F5" w14:textId="7068DDFF" w:rsidR="00131ACB" w:rsidRPr="00534BF7" w:rsidRDefault="00131ACB" w:rsidP="00463F32">
      <w:pPr>
        <w:pStyle w:val="Indent3"/>
        <w:spacing w:before="240"/>
      </w:pPr>
      <w:r>
        <w:t xml:space="preserve">IEEE </w:t>
      </w:r>
      <w:r w:rsidR="00463F32">
        <w:t>is still working towards the</w:t>
      </w:r>
      <w:r>
        <w:t xml:space="preserve"> use of the AMS, 123 Signup </w:t>
      </w:r>
      <w:proofErr w:type="gramStart"/>
      <w:r>
        <w:t>system</w:t>
      </w:r>
      <w:proofErr w:type="gramEnd"/>
      <w:r w:rsidR="00520192">
        <w:t>,</w:t>
      </w:r>
      <w:r>
        <w:t xml:space="preserve"> </w:t>
      </w:r>
      <w:r w:rsidR="00463F32">
        <w:t xml:space="preserve">but a firm date for this transition has not been identified.  The revisions due to the </w:t>
      </w:r>
      <w:proofErr w:type="spellStart"/>
      <w:r w:rsidR="00463F32">
        <w:t>Europeon</w:t>
      </w:r>
      <w:proofErr w:type="spellEnd"/>
      <w:r w:rsidR="00463F32">
        <w:t xml:space="preserve"> GDPR may be part of the holdup.  When it is finally put </w:t>
      </w:r>
      <w:proofErr w:type="spellStart"/>
      <w:r w:rsidR="00463F32">
        <w:t>into affect</w:t>
      </w:r>
      <w:proofErr w:type="spellEnd"/>
      <w:r w:rsidR="00463F32">
        <w:t xml:space="preserve">, </w:t>
      </w:r>
      <w:r>
        <w:t>the yearly cost to the Transformers Committee will be covered by IEEE.  The Committee will still be responsible for</w:t>
      </w:r>
      <w:r w:rsidR="00463F32">
        <w:t xml:space="preserve"> any</w:t>
      </w:r>
      <w:r>
        <w:t xml:space="preserve"> registration system and credit card fees. </w:t>
      </w:r>
    </w:p>
    <w:p w14:paraId="270C3FB6" w14:textId="77777777" w:rsidR="00131ACB" w:rsidRPr="000D5244" w:rsidRDefault="00131ACB" w:rsidP="00131ACB">
      <w:pPr>
        <w:pStyle w:val="Heading3"/>
      </w:pPr>
      <w:r w:rsidRPr="000D5244">
        <w:t>Website Password Usage</w:t>
      </w:r>
    </w:p>
    <w:p w14:paraId="1BF4FEC3" w14:textId="1007C9E3" w:rsidR="00131ACB" w:rsidRPr="00520192" w:rsidRDefault="00131ACB" w:rsidP="00131ACB">
      <w:pPr>
        <w:pStyle w:val="Indent3"/>
        <w:jc w:val="both"/>
      </w:pPr>
      <w:r w:rsidRPr="00520192">
        <w:t xml:space="preserve">It is not for public dissemination.  It is for use by our meeting attendees (CM, AP, </w:t>
      </w:r>
      <w:proofErr w:type="gramStart"/>
      <w:r w:rsidRPr="00520192">
        <w:t>II</w:t>
      </w:r>
      <w:proofErr w:type="gramEnd"/>
      <w:r w:rsidRPr="00520192">
        <w:t xml:space="preserve">) and associated work of the Transformers Committee.  </w:t>
      </w:r>
      <w:r w:rsidR="00520192" w:rsidRPr="00520192">
        <w:t>Access to the protected information on the Committee website is</w:t>
      </w:r>
      <w:r w:rsidRPr="00520192">
        <w:t xml:space="preserve"> a benefit of attendance and participation.  It may be used by meeting attendees and within attendees</w:t>
      </w:r>
      <w:r w:rsidR="00520192" w:rsidRPr="00520192">
        <w:t>’</w:t>
      </w:r>
      <w:r w:rsidRPr="00520192">
        <w:t xml:space="preserve"> immediate workplace, but not beyond that.  </w:t>
      </w:r>
      <w:r w:rsidR="00520192">
        <w:t>A new password will be implemented immediately after the Jacksonville meeting.</w:t>
      </w:r>
    </w:p>
    <w:p w14:paraId="6BD5D7E9" w14:textId="27BD469D" w:rsidR="00131ACB" w:rsidRPr="00630622" w:rsidRDefault="00131ACB" w:rsidP="00131ACB">
      <w:pPr>
        <w:pStyle w:val="Heading3"/>
      </w:pPr>
      <w:r w:rsidRPr="00630622">
        <w:lastRenderedPageBreak/>
        <w:t xml:space="preserve">Call for </w:t>
      </w:r>
      <w:proofErr w:type="gramStart"/>
      <w:r w:rsidRPr="00630622">
        <w:t>Patents  (</w:t>
      </w:r>
      <w:proofErr w:type="gramEnd"/>
      <w:r w:rsidRPr="00630622">
        <w:t xml:space="preserve">Essential Patent Claims)  </w:t>
      </w:r>
    </w:p>
    <w:p w14:paraId="20DE49EC" w14:textId="234AC8E2" w:rsidR="00131ACB" w:rsidRPr="00630622" w:rsidRDefault="00517D1F" w:rsidP="00131ACB">
      <w:pPr>
        <w:ind w:firstLine="360"/>
      </w:pPr>
      <w:hyperlink r:id="rId10" w:history="1">
        <w:r w:rsidR="00131ACB" w:rsidRPr="00630622">
          <w:rPr>
            <w:rStyle w:val="Hyperlink"/>
          </w:rPr>
          <w:t>https://standards.ieee.org/about/sasb/patcom/patc.html</w:t>
        </w:r>
      </w:hyperlink>
      <w:r w:rsidR="00131ACB" w:rsidRPr="00630622">
        <w:t xml:space="preserve"> </w:t>
      </w:r>
    </w:p>
    <w:p w14:paraId="0AC6965D" w14:textId="77777777" w:rsidR="00131ACB" w:rsidRPr="00630622" w:rsidRDefault="00131ACB" w:rsidP="00131ACB">
      <w:pPr>
        <w:pStyle w:val="Indent3"/>
        <w:jc w:val="both"/>
        <w:rPr>
          <w:iCs/>
          <w:szCs w:val="22"/>
        </w:rPr>
      </w:pPr>
      <w:r w:rsidRPr="00630622">
        <w:rPr>
          <w:szCs w:val="22"/>
        </w:rPr>
        <w:t xml:space="preserve">A call for patents is required at every Working Group (WG) meeting.  This is a reminder to all WG leaders to call for patents and record the results in the meeting minutes.  Note it is </w:t>
      </w:r>
      <w:r w:rsidRPr="00630622">
        <w:rPr>
          <w:szCs w:val="22"/>
          <w:u w:val="single"/>
        </w:rPr>
        <w:t>not required</w:t>
      </w:r>
      <w:r w:rsidRPr="00630622">
        <w:rPr>
          <w:szCs w:val="22"/>
        </w:rPr>
        <w:t xml:space="preserve"> to show the patent slides; it is only necessary to call for patents and record the response in the minutes.  If there is a claim reported, the WG chair shall include in the minutes the name &amp; affiliation of the individual asserting a patent claim.  Here is what each WG Chair should ask at the beginning of each WG meeting.  This applies only to WG’s after the </w:t>
      </w:r>
      <w:r w:rsidRPr="00630622">
        <w:rPr>
          <w:iCs/>
          <w:szCs w:val="22"/>
        </w:rPr>
        <w:t>PAR is approved by the IEEE-SA Standards Board.</w:t>
      </w:r>
    </w:p>
    <w:p w14:paraId="7F832707" w14:textId="77777777" w:rsidR="00131ACB" w:rsidRPr="00630622" w:rsidRDefault="00131ACB" w:rsidP="00131ACB">
      <w:pPr>
        <w:pStyle w:val="Indent3"/>
        <w:jc w:val="both"/>
        <w:rPr>
          <w:b/>
          <w:szCs w:val="22"/>
        </w:rPr>
      </w:pPr>
      <w:r w:rsidRPr="00630622">
        <w:rPr>
          <w:b/>
          <w:szCs w:val="22"/>
        </w:rPr>
        <w:t xml:space="preserve">If anyone in this meeting is aware of any patent claims that are potentially essential to implementation of the document under consideration by this WG, that fact should be made known to the WG and recorded in the meeting minutes. </w:t>
      </w:r>
    </w:p>
    <w:p w14:paraId="657D2F0D" w14:textId="77777777" w:rsidR="00131ACB" w:rsidRPr="00630622" w:rsidRDefault="00131ACB" w:rsidP="00131ACB">
      <w:pPr>
        <w:pStyle w:val="Indent3"/>
        <w:spacing w:before="240"/>
        <w:jc w:val="both"/>
        <w:rPr>
          <w:szCs w:val="22"/>
        </w:rPr>
      </w:pPr>
      <w:r w:rsidRPr="00630622">
        <w:rPr>
          <w:szCs w:val="22"/>
        </w:rPr>
        <w:t xml:space="preserve">There should be no discussion of any patent claim identified, only that it be identified and recorded.  Even if no patent claims are identified, the minutes are to indicate that the call for patents was made.  </w:t>
      </w:r>
    </w:p>
    <w:p w14:paraId="0E82FB23" w14:textId="77777777" w:rsidR="00131ACB" w:rsidRPr="00630622" w:rsidRDefault="00131ACB" w:rsidP="00131ACB">
      <w:pPr>
        <w:pStyle w:val="Indent3"/>
        <w:spacing w:before="240"/>
        <w:jc w:val="both"/>
        <w:rPr>
          <w:szCs w:val="22"/>
        </w:rPr>
      </w:pPr>
      <w:r w:rsidRPr="00630622">
        <w:t>If</w:t>
      </w:r>
      <w:r w:rsidRPr="00630622">
        <w:rPr>
          <w:szCs w:val="22"/>
        </w:rPr>
        <w:t xml:space="preserve"> a patent holder or patent applicant is identified, then the WG Chair (or designee) should ask the patent holder or patent applicant of a patent claim that might be or become an Essential Patent Claim to complete and submit a Letter of Assurance in</w:t>
      </w:r>
      <w:r w:rsidRPr="00630622">
        <w:rPr>
          <w:iCs/>
          <w:szCs w:val="22"/>
        </w:rPr>
        <w:t xml:space="preserve"> accordance with Clause 6 of the </w:t>
      </w:r>
      <w:r w:rsidRPr="00630622">
        <w:rPr>
          <w:szCs w:val="22"/>
        </w:rPr>
        <w:t xml:space="preserve">IEEE-SA Standards Board Bylaws.  </w:t>
      </w:r>
    </w:p>
    <w:p w14:paraId="51E93964" w14:textId="794CC6A0" w:rsidR="00131ACB" w:rsidRPr="00D6437A" w:rsidRDefault="00131ACB" w:rsidP="00131ACB">
      <w:pPr>
        <w:pStyle w:val="Indent3"/>
        <w:spacing w:before="240"/>
        <w:jc w:val="both"/>
        <w:rPr>
          <w:szCs w:val="22"/>
        </w:rPr>
      </w:pPr>
      <w:r w:rsidRPr="00630622">
        <w:rPr>
          <w:szCs w:val="22"/>
        </w:rPr>
        <w:t>A Letter of Assurance (</w:t>
      </w:r>
      <w:proofErr w:type="spellStart"/>
      <w:r w:rsidRPr="00630622">
        <w:rPr>
          <w:szCs w:val="22"/>
        </w:rPr>
        <w:t>LoA</w:t>
      </w:r>
      <w:proofErr w:type="spellEnd"/>
      <w:r w:rsidRPr="00630622">
        <w:rPr>
          <w:szCs w:val="22"/>
        </w:rPr>
        <w:t>) is a document submitted to IEEE-SA by a patent holder which documents the submitter’s position with regard to ownership, enforcement, or licensing of an Essential Patent Claim that may be incorporated into a specific IEEE document</w:t>
      </w:r>
      <w:r w:rsidRPr="00D6437A">
        <w:rPr>
          <w:szCs w:val="22"/>
        </w:rPr>
        <w:t xml:space="preserve">.  As of </w:t>
      </w:r>
      <w:r w:rsidR="00D6437A" w:rsidRPr="00D6437A">
        <w:rPr>
          <w:szCs w:val="22"/>
        </w:rPr>
        <w:t>October</w:t>
      </w:r>
      <w:r w:rsidRPr="00D6437A">
        <w:rPr>
          <w:szCs w:val="22"/>
        </w:rPr>
        <w:t xml:space="preserve"> 2018, the following </w:t>
      </w:r>
      <w:r w:rsidR="00D6437A" w:rsidRPr="00D6437A">
        <w:rPr>
          <w:szCs w:val="22"/>
        </w:rPr>
        <w:t>six (6)</w:t>
      </w:r>
      <w:r w:rsidRPr="00D6437A">
        <w:rPr>
          <w:szCs w:val="22"/>
        </w:rPr>
        <w:t xml:space="preserve"> existing Accepted Letters of Assurance pertain to our committee:</w:t>
      </w:r>
    </w:p>
    <w:p w14:paraId="7B4B9CB2" w14:textId="77777777" w:rsidR="00131ACB" w:rsidRPr="00D6437A" w:rsidRDefault="00131ACB" w:rsidP="00131ACB">
      <w:pPr>
        <w:pStyle w:val="ListParagraph"/>
        <w:numPr>
          <w:ilvl w:val="2"/>
          <w:numId w:val="31"/>
        </w:numPr>
        <w:autoSpaceDE w:val="0"/>
        <w:autoSpaceDN w:val="0"/>
        <w:adjustRightInd w:val="0"/>
        <w:spacing w:before="240" w:after="60"/>
        <w:ind w:left="720"/>
        <w:rPr>
          <w:rFonts w:ascii="Times New Roman" w:hAnsi="Times New Roman"/>
          <w:bCs/>
        </w:rPr>
      </w:pPr>
      <w:r w:rsidRPr="00D6437A">
        <w:rPr>
          <w:rFonts w:ascii="Times New Roman" w:hAnsi="Times New Roman"/>
        </w:rPr>
        <w:t xml:space="preserve">C57.127 Guide for </w:t>
      </w:r>
      <w:r w:rsidRPr="00D6437A">
        <w:rPr>
          <w:rFonts w:ascii="Times New Roman" w:hAnsi="Times New Roman"/>
          <w:bCs/>
        </w:rPr>
        <w:t xml:space="preserve">Detection and Location of Acoustic Emissions from Partial Discharges in Oil-Immersed Power Transformers and Reactors.  </w:t>
      </w:r>
      <w:proofErr w:type="spellStart"/>
      <w:r w:rsidRPr="00D6437A">
        <w:rPr>
          <w:rFonts w:ascii="Times New Roman" w:hAnsi="Times New Roman"/>
          <w:bCs/>
        </w:rPr>
        <w:t>LoA</w:t>
      </w:r>
      <w:proofErr w:type="spellEnd"/>
      <w:r w:rsidRPr="00D6437A">
        <w:rPr>
          <w:rFonts w:ascii="Times New Roman" w:hAnsi="Times New Roman"/>
          <w:bCs/>
        </w:rPr>
        <w:t xml:space="preserve"> recorded September 6, 2005.  Filed by ABB Technology, Ltd. Patent Serial Number: 6,340,890 (US)</w:t>
      </w:r>
    </w:p>
    <w:p w14:paraId="1EC76408" w14:textId="77777777" w:rsidR="00131ACB" w:rsidRPr="00D6437A" w:rsidRDefault="00131ACB" w:rsidP="00131ACB">
      <w:pPr>
        <w:pStyle w:val="ListParagraph"/>
        <w:numPr>
          <w:ilvl w:val="2"/>
          <w:numId w:val="31"/>
        </w:numPr>
        <w:autoSpaceDE w:val="0"/>
        <w:autoSpaceDN w:val="0"/>
        <w:adjustRightInd w:val="0"/>
        <w:spacing w:before="240" w:after="60"/>
        <w:ind w:left="720"/>
        <w:rPr>
          <w:rFonts w:ascii="Times New Roman" w:hAnsi="Times New Roman"/>
          <w:bCs/>
        </w:rPr>
      </w:pPr>
      <w:r w:rsidRPr="00D6437A">
        <w:rPr>
          <w:rFonts w:ascii="Times New Roman" w:hAnsi="Times New Roman"/>
        </w:rPr>
        <w:t xml:space="preserve">C57.139 </w:t>
      </w:r>
      <w:r w:rsidRPr="00D6437A">
        <w:rPr>
          <w:rFonts w:ascii="Times New Roman" w:hAnsi="Times New Roman"/>
          <w:bCs/>
        </w:rPr>
        <w:t xml:space="preserve">Guide for Dissolved Gas Analysis in Transformer Load Tap Changers.  </w:t>
      </w:r>
      <w:proofErr w:type="spellStart"/>
      <w:r w:rsidRPr="00D6437A">
        <w:rPr>
          <w:rFonts w:ascii="Times New Roman" w:hAnsi="Times New Roman"/>
          <w:bCs/>
        </w:rPr>
        <w:t>LoA</w:t>
      </w:r>
      <w:proofErr w:type="spellEnd"/>
      <w:r w:rsidRPr="00D6437A">
        <w:rPr>
          <w:rFonts w:ascii="Times New Roman" w:hAnsi="Times New Roman"/>
          <w:bCs/>
        </w:rPr>
        <w:t xml:space="preserve"> recorded January 16, 2013.  Filed by Maschinenfabrik Reinhausen GMBH. Patent Serial Number: Not indicated</w:t>
      </w:r>
    </w:p>
    <w:p w14:paraId="62555B0D" w14:textId="77777777" w:rsidR="00131ACB" w:rsidRPr="00D6437A" w:rsidRDefault="00131ACB" w:rsidP="00131ACB">
      <w:pPr>
        <w:pStyle w:val="ListParagraph"/>
        <w:numPr>
          <w:ilvl w:val="2"/>
          <w:numId w:val="31"/>
        </w:numPr>
        <w:autoSpaceDE w:val="0"/>
        <w:autoSpaceDN w:val="0"/>
        <w:adjustRightInd w:val="0"/>
        <w:spacing w:before="240" w:after="60"/>
        <w:ind w:left="720"/>
        <w:rPr>
          <w:rFonts w:ascii="Times New Roman" w:hAnsi="Times New Roman"/>
          <w:bCs/>
        </w:rPr>
      </w:pPr>
      <w:r w:rsidRPr="00D6437A">
        <w:rPr>
          <w:rFonts w:ascii="Times New Roman" w:hAnsi="Times New Roman"/>
        </w:rPr>
        <w:t>C57</w:t>
      </w:r>
      <w:r w:rsidRPr="00D6437A">
        <w:rPr>
          <w:rFonts w:ascii="Times New Roman" w:hAnsi="Times New Roman"/>
          <w:bCs/>
        </w:rPr>
        <w:t xml:space="preserve">.163 </w:t>
      </w:r>
      <w:r w:rsidRPr="00D6437A">
        <w:rPr>
          <w:rFonts w:ascii="Times New Roman" w:hAnsi="Times New Roman"/>
        </w:rPr>
        <w:t xml:space="preserve">Guide for Establishing Power Transformer Capability while under Geomagnetic Disturbances. </w:t>
      </w:r>
      <w:proofErr w:type="spellStart"/>
      <w:r w:rsidRPr="00D6437A">
        <w:rPr>
          <w:rFonts w:ascii="Times New Roman" w:hAnsi="Times New Roman"/>
        </w:rPr>
        <w:t>LoA</w:t>
      </w:r>
      <w:proofErr w:type="spellEnd"/>
      <w:r w:rsidRPr="00D6437A">
        <w:rPr>
          <w:rFonts w:ascii="Times New Roman" w:hAnsi="Times New Roman"/>
        </w:rPr>
        <w:t xml:space="preserve"> recorded May 5, 2014. Filed by Advanced Power Technologies, LLC.  Patent Serial Number: 20130285671 (US)</w:t>
      </w:r>
    </w:p>
    <w:p w14:paraId="7F92DAE2" w14:textId="77777777" w:rsidR="00131ACB" w:rsidRPr="00D6437A" w:rsidRDefault="00131ACB" w:rsidP="00131ACB">
      <w:pPr>
        <w:pStyle w:val="ListParagraph"/>
        <w:numPr>
          <w:ilvl w:val="2"/>
          <w:numId w:val="31"/>
        </w:numPr>
        <w:autoSpaceDE w:val="0"/>
        <w:autoSpaceDN w:val="0"/>
        <w:adjustRightInd w:val="0"/>
        <w:spacing w:before="240" w:after="60"/>
        <w:ind w:left="720"/>
        <w:rPr>
          <w:rFonts w:ascii="Times New Roman" w:hAnsi="Times New Roman"/>
        </w:rPr>
      </w:pPr>
      <w:r w:rsidRPr="00D6437A">
        <w:rPr>
          <w:rFonts w:ascii="Times New Roman" w:hAnsi="Times New Roman"/>
        </w:rPr>
        <w:t xml:space="preserve">C57.147 Guide for Acceptance and Maintenance of Natural Ester Fluids in Transformers, and C57.155 Guide for Interpretation of Gases Generated in Natural Ester and Synthetic Ester-Immersed Transformers. </w:t>
      </w:r>
      <w:proofErr w:type="spellStart"/>
      <w:r w:rsidRPr="00D6437A">
        <w:rPr>
          <w:rFonts w:ascii="Times New Roman" w:hAnsi="Times New Roman"/>
        </w:rPr>
        <w:t>LoA</w:t>
      </w:r>
      <w:proofErr w:type="spellEnd"/>
      <w:r w:rsidRPr="00D6437A">
        <w:rPr>
          <w:rFonts w:ascii="Times New Roman" w:hAnsi="Times New Roman"/>
        </w:rPr>
        <w:t xml:space="preserve"> recorded April 5, 2017.  Filed by Cooper Power Systems, LLC.  Patent Serial Number: 6,398,986 (US), 6,905,638 (US), 7,651,641 (US)</w:t>
      </w:r>
    </w:p>
    <w:p w14:paraId="3FE41626" w14:textId="77777777" w:rsidR="00131ACB" w:rsidRPr="00D6437A" w:rsidRDefault="00131ACB" w:rsidP="00131ACB">
      <w:pPr>
        <w:pStyle w:val="ListParagraph"/>
        <w:numPr>
          <w:ilvl w:val="2"/>
          <w:numId w:val="31"/>
        </w:numPr>
        <w:autoSpaceDE w:val="0"/>
        <w:autoSpaceDN w:val="0"/>
        <w:adjustRightInd w:val="0"/>
        <w:spacing w:before="240" w:after="60"/>
        <w:ind w:left="720"/>
        <w:rPr>
          <w:rFonts w:ascii="Times New Roman" w:hAnsi="Times New Roman"/>
          <w:bCs/>
        </w:rPr>
      </w:pPr>
      <w:r w:rsidRPr="00D6437A">
        <w:rPr>
          <w:rFonts w:ascii="Times New Roman" w:hAnsi="Times New Roman"/>
        </w:rPr>
        <w:t>C57.147 Guide for Acceptance and Maintenance of Natural Ester Fluids in Transformers, and C57.155 Guide for Interpretation of Gases Generated in Natural Ester and Synthetic Ester-Immersed</w:t>
      </w:r>
      <w:r w:rsidRPr="00D6437A">
        <w:t xml:space="preserve"> </w:t>
      </w:r>
      <w:r w:rsidRPr="00D6437A">
        <w:rPr>
          <w:rFonts w:ascii="Times New Roman" w:hAnsi="Times New Roman"/>
        </w:rPr>
        <w:t xml:space="preserve">Transformers. </w:t>
      </w:r>
      <w:proofErr w:type="spellStart"/>
      <w:r w:rsidRPr="00D6437A">
        <w:rPr>
          <w:rFonts w:ascii="Times New Roman" w:hAnsi="Times New Roman"/>
        </w:rPr>
        <w:t>LoA</w:t>
      </w:r>
      <w:proofErr w:type="spellEnd"/>
      <w:r w:rsidRPr="00D6437A">
        <w:rPr>
          <w:rFonts w:ascii="Times New Roman" w:hAnsi="Times New Roman"/>
        </w:rPr>
        <w:t xml:space="preserve"> recorded April 5, 2017.  Filed by Cooper Power Systems, LLC.  Patent Serial Number: PI 9612097-5</w:t>
      </w:r>
    </w:p>
    <w:p w14:paraId="040715D5" w14:textId="5D2B0E26" w:rsidR="00CD492D" w:rsidRPr="00D6437A" w:rsidRDefault="008B7525" w:rsidP="00CD492D">
      <w:pPr>
        <w:pStyle w:val="ListParagraph"/>
        <w:numPr>
          <w:ilvl w:val="2"/>
          <w:numId w:val="31"/>
        </w:numPr>
        <w:autoSpaceDE w:val="0"/>
        <w:autoSpaceDN w:val="0"/>
        <w:adjustRightInd w:val="0"/>
        <w:spacing w:before="240" w:after="60"/>
        <w:ind w:left="720"/>
        <w:rPr>
          <w:rFonts w:ascii="Times New Roman" w:hAnsi="Times New Roman"/>
          <w:bCs/>
        </w:rPr>
      </w:pPr>
      <w:r w:rsidRPr="00D6437A">
        <w:rPr>
          <w:rFonts w:ascii="Times New Roman" w:hAnsi="Times New Roman"/>
        </w:rPr>
        <w:lastRenderedPageBreak/>
        <w:t xml:space="preserve">C57.143 </w:t>
      </w:r>
      <w:r w:rsidR="00CD492D" w:rsidRPr="00D6437A">
        <w:rPr>
          <w:rFonts w:ascii="Times New Roman" w:hAnsi="Times New Roman"/>
        </w:rPr>
        <w:t xml:space="preserve">IEEE Guide for Application for Monitoring </w:t>
      </w:r>
      <w:proofErr w:type="spellStart"/>
      <w:r w:rsidR="00CD492D" w:rsidRPr="00D6437A">
        <w:rPr>
          <w:rFonts w:ascii="Times New Roman" w:hAnsi="Times New Roman"/>
        </w:rPr>
        <w:t>Equpment</w:t>
      </w:r>
      <w:proofErr w:type="spellEnd"/>
      <w:r w:rsidR="00CD492D" w:rsidRPr="00D6437A">
        <w:rPr>
          <w:rFonts w:ascii="Times New Roman" w:hAnsi="Times New Roman"/>
        </w:rPr>
        <w:t xml:space="preserve"> to Liquid Immersed Transformers and Components.  </w:t>
      </w:r>
      <w:proofErr w:type="spellStart"/>
      <w:r w:rsidR="00CD492D" w:rsidRPr="00D6437A">
        <w:rPr>
          <w:rFonts w:ascii="Times New Roman" w:hAnsi="Times New Roman"/>
        </w:rPr>
        <w:t>LoA</w:t>
      </w:r>
      <w:proofErr w:type="spellEnd"/>
      <w:r w:rsidR="00CD492D" w:rsidRPr="00D6437A">
        <w:rPr>
          <w:rFonts w:ascii="Times New Roman" w:hAnsi="Times New Roman"/>
        </w:rPr>
        <w:t xml:space="preserve"> submitted to IEEE October 12, 2018.  Filed by Roger Fenton. Patent Docket number 15/371,085.</w:t>
      </w:r>
    </w:p>
    <w:p w14:paraId="1522EF5D" w14:textId="77777777" w:rsidR="00131ACB" w:rsidRPr="00630622" w:rsidRDefault="00131ACB" w:rsidP="00131ACB">
      <w:pPr>
        <w:pStyle w:val="Heading3"/>
      </w:pPr>
      <w:r w:rsidRPr="00630622">
        <w:t>Transformers Committee Policies and Procedures (P&amp;P) Update</w:t>
      </w:r>
    </w:p>
    <w:p w14:paraId="78458F49" w14:textId="2333CB17" w:rsidR="00131ACB" w:rsidRPr="00630622" w:rsidRDefault="00630622" w:rsidP="00131ACB">
      <w:pPr>
        <w:pStyle w:val="Indent3"/>
        <w:jc w:val="both"/>
        <w:rPr>
          <w:szCs w:val="22"/>
        </w:rPr>
      </w:pPr>
      <w:r w:rsidRPr="00630622">
        <w:rPr>
          <w:szCs w:val="22"/>
        </w:rPr>
        <w:t>A revised</w:t>
      </w:r>
      <w:r w:rsidR="00131ACB" w:rsidRPr="00630622">
        <w:rPr>
          <w:szCs w:val="22"/>
        </w:rPr>
        <w:t xml:space="preserve"> TC Sponsor P&amp;P </w:t>
      </w:r>
      <w:r w:rsidRPr="00630622">
        <w:rPr>
          <w:szCs w:val="22"/>
        </w:rPr>
        <w:t xml:space="preserve">will be voted on at the Jacksonville meeting. </w:t>
      </w:r>
      <w:r w:rsidR="00131ACB" w:rsidRPr="00630622">
        <w:rPr>
          <w:szCs w:val="22"/>
        </w:rPr>
        <w:t xml:space="preserve"> Although the WG P&amp;P is not due for revision, </w:t>
      </w:r>
      <w:r w:rsidRPr="00630622">
        <w:rPr>
          <w:szCs w:val="22"/>
        </w:rPr>
        <w:t>work on this and either a separate Entity WG P&amp;P or addition of this to the WG P&amp;P will be starting up once the TC Sponsor P&amp;P is complete</w:t>
      </w:r>
      <w:r w:rsidR="00131ACB" w:rsidRPr="00630622">
        <w:rPr>
          <w:szCs w:val="22"/>
        </w:rPr>
        <w:t xml:space="preserve">.  </w:t>
      </w:r>
    </w:p>
    <w:p w14:paraId="1F96CED2" w14:textId="77777777" w:rsidR="00131ACB" w:rsidRPr="00630622" w:rsidRDefault="00131ACB" w:rsidP="00131ACB">
      <w:pPr>
        <w:pStyle w:val="Indent3"/>
        <w:spacing w:before="240"/>
        <w:jc w:val="both"/>
        <w:rPr>
          <w:szCs w:val="22"/>
        </w:rPr>
      </w:pPr>
      <w:r w:rsidRPr="00630622">
        <w:t>The</w:t>
      </w:r>
      <w:r w:rsidRPr="00630622">
        <w:rPr>
          <w:szCs w:val="22"/>
        </w:rPr>
        <w:t xml:space="preserve"> P&amp;P is one of three main governing documents that comes from PES Tech Council and IEEE-SA.  It is sometimes called the Sponsor P&amp;P, and it applies to </w:t>
      </w:r>
      <w:r w:rsidRPr="00630622">
        <w:rPr>
          <w:szCs w:val="22"/>
          <w:u w:val="single"/>
        </w:rPr>
        <w:t>Standards Development</w:t>
      </w:r>
      <w:r w:rsidRPr="00630622">
        <w:rPr>
          <w:szCs w:val="22"/>
        </w:rPr>
        <w:t xml:space="preserve">.  </w:t>
      </w:r>
    </w:p>
    <w:p w14:paraId="778905F5" w14:textId="1502EC1A" w:rsidR="00131ACB" w:rsidRPr="00630622" w:rsidRDefault="00131ACB" w:rsidP="00131ACB">
      <w:pPr>
        <w:pStyle w:val="Indent3"/>
        <w:spacing w:before="240"/>
        <w:jc w:val="both"/>
        <w:rPr>
          <w:szCs w:val="22"/>
        </w:rPr>
      </w:pPr>
      <w:r w:rsidRPr="00630622">
        <w:t>There is also</w:t>
      </w:r>
      <w:r w:rsidRPr="00630622">
        <w:rPr>
          <w:szCs w:val="22"/>
        </w:rPr>
        <w:t xml:space="preserve"> an O&amp;P, for Organization &amp; Procedures, which supplements the P&amp;P and applies to everything else the Committee does.  It covers: general </w:t>
      </w:r>
      <w:r w:rsidRPr="00630622">
        <w:rPr>
          <w:szCs w:val="22"/>
          <w:u w:val="single"/>
        </w:rPr>
        <w:t>operating procedures</w:t>
      </w:r>
      <w:r w:rsidRPr="00630622">
        <w:rPr>
          <w:szCs w:val="22"/>
        </w:rPr>
        <w:t xml:space="preserve"> of the committee, subcommittees, and working groups; responsibilities of officers; membership issues; org chart; technical papers and presentations, etc.  </w:t>
      </w:r>
      <w:r w:rsidR="00630622">
        <w:rPr>
          <w:szCs w:val="22"/>
        </w:rPr>
        <w:t>Review of the O&amp;P document will be done to make sure that it aligns with any changes made to the P&amp;P.</w:t>
      </w:r>
    </w:p>
    <w:p w14:paraId="5EB686A2" w14:textId="77777777" w:rsidR="00131ACB" w:rsidRPr="00630622" w:rsidRDefault="00131ACB" w:rsidP="00131ACB">
      <w:pPr>
        <w:pStyle w:val="Indent3"/>
        <w:spacing w:before="240"/>
        <w:jc w:val="both"/>
        <w:rPr>
          <w:szCs w:val="22"/>
        </w:rPr>
      </w:pPr>
      <w:r w:rsidRPr="00630622">
        <w:rPr>
          <w:szCs w:val="22"/>
        </w:rPr>
        <w:t xml:space="preserve">The </w:t>
      </w:r>
      <w:r w:rsidRPr="00630622">
        <w:t>third</w:t>
      </w:r>
      <w:r w:rsidRPr="00630622">
        <w:rPr>
          <w:szCs w:val="22"/>
        </w:rPr>
        <w:t xml:space="preserve"> governing document is the Working Group P&amp;P.  </w:t>
      </w:r>
    </w:p>
    <w:p w14:paraId="1B57CDCB" w14:textId="77777777" w:rsidR="00131ACB" w:rsidRPr="00630622" w:rsidRDefault="00131ACB" w:rsidP="00131ACB">
      <w:pPr>
        <w:pStyle w:val="Heading3"/>
      </w:pPr>
      <w:r w:rsidRPr="00630622">
        <w:t>Website</w:t>
      </w:r>
    </w:p>
    <w:p w14:paraId="127EAF87" w14:textId="1AB6ACCA" w:rsidR="00131ACB" w:rsidRPr="00630622" w:rsidRDefault="00131ACB" w:rsidP="00131ACB">
      <w:pPr>
        <w:pStyle w:val="Indent3"/>
        <w:jc w:val="both"/>
      </w:pPr>
      <w:r w:rsidRPr="00630622">
        <w:t xml:space="preserve">Susan McNelly, the present Webmaster </w:t>
      </w:r>
      <w:r w:rsidR="00630622" w:rsidRPr="00630622">
        <w:t xml:space="preserve">has started </w:t>
      </w:r>
      <w:r w:rsidRPr="00630622">
        <w:t xml:space="preserve">working on a transition from the present non web based web updating program to a web based platform.  </w:t>
      </w:r>
      <w:r w:rsidR="00630622" w:rsidRPr="00630622">
        <w:t>A base platform has been created and plans are to begin populating the new platform between now and the next meeting.  A definitive timeline has not been set</w:t>
      </w:r>
      <w:r w:rsidRPr="00630622">
        <w:t>.  A web based updating platform will allow multiple people the ability to make updates to spread the workload.</w:t>
      </w:r>
    </w:p>
    <w:p w14:paraId="78ADCA9F" w14:textId="0B7C786D" w:rsidR="00131ACB" w:rsidRDefault="00630622" w:rsidP="00131ACB">
      <w:pPr>
        <w:pStyle w:val="Indent3"/>
        <w:jc w:val="both"/>
      </w:pPr>
      <w:r w:rsidRPr="00630622">
        <w:t>I</w:t>
      </w:r>
      <w:r w:rsidR="00131ACB" w:rsidRPr="00630622">
        <w:t xml:space="preserve">ndividuals </w:t>
      </w:r>
      <w:r w:rsidRPr="00630622">
        <w:t xml:space="preserve">interested in helping with this effort </w:t>
      </w:r>
      <w:r w:rsidR="00131ACB" w:rsidRPr="00630622">
        <w:t>should contact Susan.</w:t>
      </w:r>
    </w:p>
    <w:p w14:paraId="3E432BC6" w14:textId="77777777" w:rsidR="00131ACB" w:rsidRPr="00B22701" w:rsidRDefault="00131ACB" w:rsidP="00131ACB">
      <w:pPr>
        <w:pStyle w:val="Indent1"/>
        <w:keepNext/>
        <w:ind w:left="4320"/>
      </w:pPr>
      <w:r w:rsidRPr="00B22701">
        <w:t>Respectfully submitted,</w:t>
      </w:r>
    </w:p>
    <w:p w14:paraId="31F32811" w14:textId="77777777" w:rsidR="00131ACB" w:rsidRPr="00B22701" w:rsidRDefault="00131ACB" w:rsidP="00131ACB">
      <w:pPr>
        <w:pStyle w:val="Indent1"/>
        <w:keepNext/>
        <w:ind w:left="4320"/>
        <w:rPr>
          <w:rFonts w:ascii="Brush Script MT" w:hAnsi="Brush Script MT"/>
          <w:sz w:val="32"/>
        </w:rPr>
      </w:pPr>
      <w:r>
        <w:rPr>
          <w:rFonts w:ascii="Brush Script MT" w:hAnsi="Brush Script MT"/>
          <w:sz w:val="32"/>
        </w:rPr>
        <w:t>Susan J. McNelly</w:t>
      </w:r>
    </w:p>
    <w:p w14:paraId="5854E58C" w14:textId="77777777" w:rsidR="00131ACB" w:rsidRPr="00B22701" w:rsidRDefault="00131ACB" w:rsidP="00131ACB">
      <w:pPr>
        <w:pStyle w:val="Indent1"/>
        <w:spacing w:before="0"/>
        <w:ind w:left="4320"/>
        <w:rPr>
          <w:szCs w:val="22"/>
        </w:rPr>
      </w:pPr>
      <w:r w:rsidRPr="00B22701">
        <w:rPr>
          <w:szCs w:val="22"/>
        </w:rPr>
        <w:t>Chair, IEEE/PES Transformers Committee</w:t>
      </w:r>
    </w:p>
    <w:p w14:paraId="4BF70FBD" w14:textId="27A4AD3D" w:rsidR="00131ACB" w:rsidRPr="00B22701" w:rsidRDefault="00ED7C41" w:rsidP="00131ACB">
      <w:pPr>
        <w:ind w:left="4320"/>
        <w:rPr>
          <w:szCs w:val="22"/>
        </w:rPr>
      </w:pPr>
      <w:r>
        <w:rPr>
          <w:szCs w:val="22"/>
        </w:rPr>
        <w:t>October 14</w:t>
      </w:r>
      <w:r w:rsidR="00131ACB">
        <w:rPr>
          <w:szCs w:val="22"/>
        </w:rPr>
        <w:t>, 2018</w:t>
      </w:r>
    </w:p>
    <w:p w14:paraId="43C58BB9" w14:textId="2D1A0D39" w:rsidR="004C6C0F" w:rsidRPr="00131ACB" w:rsidRDefault="004C6C0F" w:rsidP="00131ACB"/>
    <w:sectPr w:rsidR="004C6C0F" w:rsidRPr="00131A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9CC90" w14:textId="77777777" w:rsidR="00517D1F" w:rsidRDefault="00517D1F">
      <w:r>
        <w:separator/>
      </w:r>
    </w:p>
  </w:endnote>
  <w:endnote w:type="continuationSeparator" w:id="0">
    <w:p w14:paraId="5D80E3D2" w14:textId="77777777" w:rsidR="00517D1F" w:rsidRDefault="0051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B94B" w14:textId="77777777" w:rsidR="00517D1F" w:rsidRDefault="00517D1F">
      <w:r>
        <w:separator/>
      </w:r>
    </w:p>
  </w:footnote>
  <w:footnote w:type="continuationSeparator" w:id="0">
    <w:p w14:paraId="35654DF4" w14:textId="77777777" w:rsidR="00517D1F" w:rsidRDefault="00517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5">
    <w:nsid w:val="240932E8"/>
    <w:multiLevelType w:val="multilevel"/>
    <w:tmpl w:val="EF2E7126"/>
    <w:lvl w:ilvl="0">
      <w:start w:val="4"/>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8">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9">
    <w:nsid w:val="415354B3"/>
    <w:multiLevelType w:val="singleLevel"/>
    <w:tmpl w:val="0409000F"/>
    <w:lvl w:ilvl="0">
      <w:start w:val="1"/>
      <w:numFmt w:val="decimal"/>
      <w:lvlText w:val="%1."/>
      <w:lvlJc w:val="left"/>
      <w:pPr>
        <w:tabs>
          <w:tab w:val="num" w:pos="360"/>
        </w:tabs>
        <w:ind w:left="360" w:hanging="360"/>
      </w:pPr>
    </w:lvl>
  </w:abstractNum>
  <w:abstractNum w:abstractNumId="10">
    <w:nsid w:val="493A7F47"/>
    <w:multiLevelType w:val="hybridMultilevel"/>
    <w:tmpl w:val="25FA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3">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4">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nsid w:val="54185EB3"/>
    <w:multiLevelType w:val="multilevel"/>
    <w:tmpl w:val="0DB41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0909A0"/>
    <w:multiLevelType w:val="hybridMultilevel"/>
    <w:tmpl w:val="766A4B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2"/>
  </w:num>
  <w:num w:numId="4">
    <w:abstractNumId w:val="21"/>
  </w:num>
  <w:num w:numId="5">
    <w:abstractNumId w:val="8"/>
  </w:num>
  <w:num w:numId="6">
    <w:abstractNumId w:val="13"/>
  </w:num>
  <w:num w:numId="7">
    <w:abstractNumId w:val="20"/>
  </w:num>
  <w:num w:numId="8">
    <w:abstractNumId w:val="4"/>
  </w:num>
  <w:num w:numId="9">
    <w:abstractNumId w:val="9"/>
  </w:num>
  <w:num w:numId="10">
    <w:abstractNumId w:val="22"/>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2"/>
  </w:num>
  <w:num w:numId="16">
    <w:abstractNumId w:val="15"/>
  </w:num>
  <w:num w:numId="17">
    <w:abstractNumId w:val="24"/>
  </w:num>
  <w:num w:numId="18">
    <w:abstractNumId w:val="14"/>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2"/>
  </w:num>
  <w:num w:numId="23">
    <w:abstractNumId w:val="12"/>
  </w:num>
  <w:num w:numId="24">
    <w:abstractNumId w:val="6"/>
  </w:num>
  <w:num w:numId="25">
    <w:abstractNumId w:val="11"/>
  </w:num>
  <w:num w:numId="26">
    <w:abstractNumId w:val="12"/>
  </w:num>
  <w:num w:numId="2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5"/>
  </w:num>
  <w:num w:numId="30">
    <w:abstractNumId w:val="10"/>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70"/>
    <w:rsid w:val="0001136C"/>
    <w:rsid w:val="000138A1"/>
    <w:rsid w:val="000238C2"/>
    <w:rsid w:val="00030B7D"/>
    <w:rsid w:val="000352BE"/>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7450"/>
    <w:rsid w:val="000C0751"/>
    <w:rsid w:val="000C2174"/>
    <w:rsid w:val="000C22C0"/>
    <w:rsid w:val="000C4113"/>
    <w:rsid w:val="000D0C50"/>
    <w:rsid w:val="000D7CB8"/>
    <w:rsid w:val="000E0EAD"/>
    <w:rsid w:val="000E2277"/>
    <w:rsid w:val="000E37BE"/>
    <w:rsid w:val="000E465F"/>
    <w:rsid w:val="000E4973"/>
    <w:rsid w:val="00114A76"/>
    <w:rsid w:val="0012339B"/>
    <w:rsid w:val="0012378E"/>
    <w:rsid w:val="00124312"/>
    <w:rsid w:val="00125596"/>
    <w:rsid w:val="00131ACB"/>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80D38"/>
    <w:rsid w:val="0018744B"/>
    <w:rsid w:val="001942AB"/>
    <w:rsid w:val="001A0738"/>
    <w:rsid w:val="001A30A6"/>
    <w:rsid w:val="001A6262"/>
    <w:rsid w:val="001A6B70"/>
    <w:rsid w:val="001B00F9"/>
    <w:rsid w:val="001B2004"/>
    <w:rsid w:val="001B71FA"/>
    <w:rsid w:val="001C01D1"/>
    <w:rsid w:val="001C0C1A"/>
    <w:rsid w:val="001C76CC"/>
    <w:rsid w:val="001D6C01"/>
    <w:rsid w:val="001E21CE"/>
    <w:rsid w:val="00200BF9"/>
    <w:rsid w:val="00202D8D"/>
    <w:rsid w:val="00215EA7"/>
    <w:rsid w:val="00224CB4"/>
    <w:rsid w:val="00226A72"/>
    <w:rsid w:val="002278D0"/>
    <w:rsid w:val="00231B50"/>
    <w:rsid w:val="00234A76"/>
    <w:rsid w:val="00234A77"/>
    <w:rsid w:val="00240DC0"/>
    <w:rsid w:val="00243591"/>
    <w:rsid w:val="00256ED9"/>
    <w:rsid w:val="002608C5"/>
    <w:rsid w:val="00262F29"/>
    <w:rsid w:val="00263DC2"/>
    <w:rsid w:val="00277ABE"/>
    <w:rsid w:val="002826E8"/>
    <w:rsid w:val="00283452"/>
    <w:rsid w:val="00283EA8"/>
    <w:rsid w:val="0028719A"/>
    <w:rsid w:val="00291E65"/>
    <w:rsid w:val="002A1F35"/>
    <w:rsid w:val="002B0F67"/>
    <w:rsid w:val="002B1EC8"/>
    <w:rsid w:val="002B2EC6"/>
    <w:rsid w:val="002C045D"/>
    <w:rsid w:val="002C0F35"/>
    <w:rsid w:val="002C26A6"/>
    <w:rsid w:val="002C47A6"/>
    <w:rsid w:val="002C63BF"/>
    <w:rsid w:val="002C6467"/>
    <w:rsid w:val="002D098B"/>
    <w:rsid w:val="002D22B3"/>
    <w:rsid w:val="002D2748"/>
    <w:rsid w:val="002E5A87"/>
    <w:rsid w:val="002F2E33"/>
    <w:rsid w:val="002F45FF"/>
    <w:rsid w:val="002F6F2B"/>
    <w:rsid w:val="00304BE7"/>
    <w:rsid w:val="00305B62"/>
    <w:rsid w:val="0031537E"/>
    <w:rsid w:val="0032166B"/>
    <w:rsid w:val="00324140"/>
    <w:rsid w:val="0032533D"/>
    <w:rsid w:val="00327EBB"/>
    <w:rsid w:val="00330B5A"/>
    <w:rsid w:val="00331F10"/>
    <w:rsid w:val="003343DD"/>
    <w:rsid w:val="00337344"/>
    <w:rsid w:val="00341BA2"/>
    <w:rsid w:val="00341C59"/>
    <w:rsid w:val="003515B8"/>
    <w:rsid w:val="00352B7A"/>
    <w:rsid w:val="00360013"/>
    <w:rsid w:val="00376FFC"/>
    <w:rsid w:val="00381AAD"/>
    <w:rsid w:val="0039383B"/>
    <w:rsid w:val="00393A82"/>
    <w:rsid w:val="00393AEF"/>
    <w:rsid w:val="00394570"/>
    <w:rsid w:val="00396E83"/>
    <w:rsid w:val="003976A3"/>
    <w:rsid w:val="003A0550"/>
    <w:rsid w:val="003A2FB0"/>
    <w:rsid w:val="003A395D"/>
    <w:rsid w:val="003A50B1"/>
    <w:rsid w:val="003A7C88"/>
    <w:rsid w:val="003B0D64"/>
    <w:rsid w:val="003D0878"/>
    <w:rsid w:val="003D14E5"/>
    <w:rsid w:val="003D2ADF"/>
    <w:rsid w:val="003D6F27"/>
    <w:rsid w:val="003E7EF3"/>
    <w:rsid w:val="003F0974"/>
    <w:rsid w:val="003F72D9"/>
    <w:rsid w:val="004001A5"/>
    <w:rsid w:val="00401398"/>
    <w:rsid w:val="00410634"/>
    <w:rsid w:val="004109AB"/>
    <w:rsid w:val="00410B08"/>
    <w:rsid w:val="00412369"/>
    <w:rsid w:val="004138EB"/>
    <w:rsid w:val="00415741"/>
    <w:rsid w:val="00417C8F"/>
    <w:rsid w:val="00422E6E"/>
    <w:rsid w:val="004243AA"/>
    <w:rsid w:val="0042469D"/>
    <w:rsid w:val="0043017F"/>
    <w:rsid w:val="004341AA"/>
    <w:rsid w:val="00437D80"/>
    <w:rsid w:val="00441DB2"/>
    <w:rsid w:val="0044528A"/>
    <w:rsid w:val="0044595B"/>
    <w:rsid w:val="004472A0"/>
    <w:rsid w:val="0045229A"/>
    <w:rsid w:val="004538D4"/>
    <w:rsid w:val="004549F7"/>
    <w:rsid w:val="0045792A"/>
    <w:rsid w:val="004605AF"/>
    <w:rsid w:val="00463F32"/>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1ECD"/>
    <w:rsid w:val="004F4DD5"/>
    <w:rsid w:val="004F755D"/>
    <w:rsid w:val="00501F79"/>
    <w:rsid w:val="00505540"/>
    <w:rsid w:val="0051277B"/>
    <w:rsid w:val="00517D1F"/>
    <w:rsid w:val="00520192"/>
    <w:rsid w:val="00522537"/>
    <w:rsid w:val="005308C3"/>
    <w:rsid w:val="00530913"/>
    <w:rsid w:val="00544C1F"/>
    <w:rsid w:val="00552EF2"/>
    <w:rsid w:val="00561F26"/>
    <w:rsid w:val="005664B6"/>
    <w:rsid w:val="0057081F"/>
    <w:rsid w:val="00572C83"/>
    <w:rsid w:val="00584F02"/>
    <w:rsid w:val="00596702"/>
    <w:rsid w:val="005A70FD"/>
    <w:rsid w:val="005A7AFD"/>
    <w:rsid w:val="005B61DC"/>
    <w:rsid w:val="005D76B6"/>
    <w:rsid w:val="005E15C2"/>
    <w:rsid w:val="005E78C2"/>
    <w:rsid w:val="005F0C9F"/>
    <w:rsid w:val="005F5F97"/>
    <w:rsid w:val="005F733C"/>
    <w:rsid w:val="006005DC"/>
    <w:rsid w:val="00604DE9"/>
    <w:rsid w:val="00605AF4"/>
    <w:rsid w:val="00606219"/>
    <w:rsid w:val="0060673A"/>
    <w:rsid w:val="00610999"/>
    <w:rsid w:val="00613841"/>
    <w:rsid w:val="00615395"/>
    <w:rsid w:val="00616F54"/>
    <w:rsid w:val="00623287"/>
    <w:rsid w:val="00625632"/>
    <w:rsid w:val="00630622"/>
    <w:rsid w:val="006404DD"/>
    <w:rsid w:val="00642871"/>
    <w:rsid w:val="00643EFB"/>
    <w:rsid w:val="006441BF"/>
    <w:rsid w:val="00655B0C"/>
    <w:rsid w:val="00667281"/>
    <w:rsid w:val="00670D59"/>
    <w:rsid w:val="0067685E"/>
    <w:rsid w:val="00682AFD"/>
    <w:rsid w:val="00685253"/>
    <w:rsid w:val="00691FDF"/>
    <w:rsid w:val="006A5227"/>
    <w:rsid w:val="006A7401"/>
    <w:rsid w:val="006B42E2"/>
    <w:rsid w:val="006C02A8"/>
    <w:rsid w:val="006C2DC2"/>
    <w:rsid w:val="006C39A5"/>
    <w:rsid w:val="006E06E9"/>
    <w:rsid w:val="006E231F"/>
    <w:rsid w:val="006F15B5"/>
    <w:rsid w:val="006F4AA9"/>
    <w:rsid w:val="006F58E1"/>
    <w:rsid w:val="006F798D"/>
    <w:rsid w:val="007025A7"/>
    <w:rsid w:val="00703959"/>
    <w:rsid w:val="0070569A"/>
    <w:rsid w:val="00705E07"/>
    <w:rsid w:val="00706F50"/>
    <w:rsid w:val="007155C6"/>
    <w:rsid w:val="007203E0"/>
    <w:rsid w:val="00731C09"/>
    <w:rsid w:val="007348D2"/>
    <w:rsid w:val="00737321"/>
    <w:rsid w:val="007400A5"/>
    <w:rsid w:val="00741166"/>
    <w:rsid w:val="007424F3"/>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9186D"/>
    <w:rsid w:val="00795CE5"/>
    <w:rsid w:val="007A4B57"/>
    <w:rsid w:val="007A5AE9"/>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56B9"/>
    <w:rsid w:val="0083453F"/>
    <w:rsid w:val="00840D77"/>
    <w:rsid w:val="00841859"/>
    <w:rsid w:val="00841870"/>
    <w:rsid w:val="00853291"/>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B7525"/>
    <w:rsid w:val="008C347A"/>
    <w:rsid w:val="008D682E"/>
    <w:rsid w:val="008D6F99"/>
    <w:rsid w:val="008D7B93"/>
    <w:rsid w:val="008E0336"/>
    <w:rsid w:val="008E2A6D"/>
    <w:rsid w:val="008E3DE8"/>
    <w:rsid w:val="008E79EC"/>
    <w:rsid w:val="008F73E0"/>
    <w:rsid w:val="009001A5"/>
    <w:rsid w:val="0090047E"/>
    <w:rsid w:val="00903067"/>
    <w:rsid w:val="00911E4A"/>
    <w:rsid w:val="00915FE5"/>
    <w:rsid w:val="009169F4"/>
    <w:rsid w:val="00916CBF"/>
    <w:rsid w:val="009229FF"/>
    <w:rsid w:val="00922B38"/>
    <w:rsid w:val="00926F79"/>
    <w:rsid w:val="00930253"/>
    <w:rsid w:val="009363E5"/>
    <w:rsid w:val="009437A7"/>
    <w:rsid w:val="00960621"/>
    <w:rsid w:val="00961749"/>
    <w:rsid w:val="00961DB2"/>
    <w:rsid w:val="009665A0"/>
    <w:rsid w:val="00967E5B"/>
    <w:rsid w:val="009837C5"/>
    <w:rsid w:val="00987EF1"/>
    <w:rsid w:val="00990770"/>
    <w:rsid w:val="00993161"/>
    <w:rsid w:val="009939B8"/>
    <w:rsid w:val="00993A76"/>
    <w:rsid w:val="009A11D2"/>
    <w:rsid w:val="009A3D35"/>
    <w:rsid w:val="009A7402"/>
    <w:rsid w:val="009B442E"/>
    <w:rsid w:val="009B5C2E"/>
    <w:rsid w:val="009C0186"/>
    <w:rsid w:val="009C1FD8"/>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813AD"/>
    <w:rsid w:val="00A85EC5"/>
    <w:rsid w:val="00A878F1"/>
    <w:rsid w:val="00A9323A"/>
    <w:rsid w:val="00AA0DD3"/>
    <w:rsid w:val="00AA38EC"/>
    <w:rsid w:val="00AA6B53"/>
    <w:rsid w:val="00AB5D17"/>
    <w:rsid w:val="00AC4427"/>
    <w:rsid w:val="00AC4902"/>
    <w:rsid w:val="00AD4E63"/>
    <w:rsid w:val="00AD7EFF"/>
    <w:rsid w:val="00AE0192"/>
    <w:rsid w:val="00AE1A88"/>
    <w:rsid w:val="00AE35C5"/>
    <w:rsid w:val="00AE4687"/>
    <w:rsid w:val="00AE6E84"/>
    <w:rsid w:val="00AF0B1E"/>
    <w:rsid w:val="00AF0DF7"/>
    <w:rsid w:val="00AF4E88"/>
    <w:rsid w:val="00B01A1D"/>
    <w:rsid w:val="00B074F5"/>
    <w:rsid w:val="00B16F8F"/>
    <w:rsid w:val="00B20898"/>
    <w:rsid w:val="00B33D93"/>
    <w:rsid w:val="00B33DD0"/>
    <w:rsid w:val="00B344A7"/>
    <w:rsid w:val="00B43C7A"/>
    <w:rsid w:val="00B4465B"/>
    <w:rsid w:val="00B5257C"/>
    <w:rsid w:val="00B540F3"/>
    <w:rsid w:val="00B60C58"/>
    <w:rsid w:val="00B678E2"/>
    <w:rsid w:val="00B67B37"/>
    <w:rsid w:val="00B67E5A"/>
    <w:rsid w:val="00B7315B"/>
    <w:rsid w:val="00B81903"/>
    <w:rsid w:val="00B81BD0"/>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F3B"/>
    <w:rsid w:val="00BF2584"/>
    <w:rsid w:val="00BF481F"/>
    <w:rsid w:val="00C05881"/>
    <w:rsid w:val="00C07D9A"/>
    <w:rsid w:val="00C11001"/>
    <w:rsid w:val="00C110E2"/>
    <w:rsid w:val="00C27F80"/>
    <w:rsid w:val="00C33708"/>
    <w:rsid w:val="00C479A3"/>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92D"/>
    <w:rsid w:val="00CD4F74"/>
    <w:rsid w:val="00CE4564"/>
    <w:rsid w:val="00CE4A40"/>
    <w:rsid w:val="00CF34B3"/>
    <w:rsid w:val="00CF673F"/>
    <w:rsid w:val="00D01921"/>
    <w:rsid w:val="00D02702"/>
    <w:rsid w:val="00D05AC8"/>
    <w:rsid w:val="00D06C2A"/>
    <w:rsid w:val="00D23222"/>
    <w:rsid w:val="00D2482E"/>
    <w:rsid w:val="00D27AFC"/>
    <w:rsid w:val="00D27BE4"/>
    <w:rsid w:val="00D32BB2"/>
    <w:rsid w:val="00D3778E"/>
    <w:rsid w:val="00D44067"/>
    <w:rsid w:val="00D448FC"/>
    <w:rsid w:val="00D51965"/>
    <w:rsid w:val="00D535A5"/>
    <w:rsid w:val="00D62606"/>
    <w:rsid w:val="00D6437A"/>
    <w:rsid w:val="00D645A5"/>
    <w:rsid w:val="00D64938"/>
    <w:rsid w:val="00D65BB0"/>
    <w:rsid w:val="00D72DB9"/>
    <w:rsid w:val="00D81FA0"/>
    <w:rsid w:val="00D8454C"/>
    <w:rsid w:val="00D869CD"/>
    <w:rsid w:val="00D9451D"/>
    <w:rsid w:val="00D966DC"/>
    <w:rsid w:val="00DA2472"/>
    <w:rsid w:val="00DB0C81"/>
    <w:rsid w:val="00DB230C"/>
    <w:rsid w:val="00DB4A6D"/>
    <w:rsid w:val="00DB4F00"/>
    <w:rsid w:val="00DD1EB5"/>
    <w:rsid w:val="00DD4CF3"/>
    <w:rsid w:val="00DE1E41"/>
    <w:rsid w:val="00DE58F2"/>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61E4F"/>
    <w:rsid w:val="00E727EF"/>
    <w:rsid w:val="00E7684A"/>
    <w:rsid w:val="00E77F41"/>
    <w:rsid w:val="00E87B3F"/>
    <w:rsid w:val="00E94592"/>
    <w:rsid w:val="00E95A52"/>
    <w:rsid w:val="00EA008A"/>
    <w:rsid w:val="00EA0973"/>
    <w:rsid w:val="00EA3081"/>
    <w:rsid w:val="00EB2DA8"/>
    <w:rsid w:val="00EB33AB"/>
    <w:rsid w:val="00EB6ABE"/>
    <w:rsid w:val="00EB724E"/>
    <w:rsid w:val="00EB7494"/>
    <w:rsid w:val="00EC41EF"/>
    <w:rsid w:val="00ED3F1F"/>
    <w:rsid w:val="00ED7C41"/>
    <w:rsid w:val="00EE4B0A"/>
    <w:rsid w:val="00EE6575"/>
    <w:rsid w:val="00EE7233"/>
    <w:rsid w:val="00EE7C8C"/>
    <w:rsid w:val="00EF50F9"/>
    <w:rsid w:val="00F0201B"/>
    <w:rsid w:val="00F0276D"/>
    <w:rsid w:val="00F04A9B"/>
    <w:rsid w:val="00F069C7"/>
    <w:rsid w:val="00F1498C"/>
    <w:rsid w:val="00F14DE4"/>
    <w:rsid w:val="00F21798"/>
    <w:rsid w:val="00F21B41"/>
    <w:rsid w:val="00F23052"/>
    <w:rsid w:val="00F25D72"/>
    <w:rsid w:val="00F27D93"/>
    <w:rsid w:val="00F43513"/>
    <w:rsid w:val="00F4651F"/>
    <w:rsid w:val="00F46F6E"/>
    <w:rsid w:val="00F51037"/>
    <w:rsid w:val="00F52E25"/>
    <w:rsid w:val="00F53AF5"/>
    <w:rsid w:val="00F53FAB"/>
    <w:rsid w:val="00F542D9"/>
    <w:rsid w:val="00F71721"/>
    <w:rsid w:val="00F723F8"/>
    <w:rsid w:val="00F8440C"/>
    <w:rsid w:val="00F86BEE"/>
    <w:rsid w:val="00F90200"/>
    <w:rsid w:val="00FA0EE8"/>
    <w:rsid w:val="00FA7642"/>
    <w:rsid w:val="00FB5D35"/>
    <w:rsid w:val="00FC51A1"/>
    <w:rsid w:val="00FC73F1"/>
    <w:rsid w:val="00FD7ECA"/>
    <w:rsid w:val="00FE0ED8"/>
    <w:rsid w:val="00FE10C4"/>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tandards.ieee.org/about/sasb/patcom/patc.html" TargetMode="External"/><Relationship Id="rId4" Type="http://schemas.microsoft.com/office/2007/relationships/stylesWithEffects" Target="stylesWithEffects.xml"/><Relationship Id="rId9" Type="http://schemas.openxmlformats.org/officeDocument/2006/relationships/hyperlink" Target="http://www.ieee-pes.org/statement-of-purpose-and-scope-of-activities-for-the-pes-technica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D75C-C17A-4D76-9F21-50FF125D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11628</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Susan McNelly</cp:lastModifiedBy>
  <cp:revision>3</cp:revision>
  <cp:lastPrinted>2016-03-08T02:13:00Z</cp:lastPrinted>
  <dcterms:created xsi:type="dcterms:W3CDTF">2018-10-15T04:06:00Z</dcterms:created>
  <dcterms:modified xsi:type="dcterms:W3CDTF">2018-10-15T04:32:00Z</dcterms:modified>
</cp:coreProperties>
</file>