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57" w:rsidRPr="00AE6B5C" w:rsidRDefault="0038420C" w:rsidP="00490857">
      <w:pPr>
        <w:pStyle w:val="Title"/>
        <w:tabs>
          <w:tab w:val="center" w:pos="4680"/>
        </w:tabs>
        <w:contextualSpacing/>
        <w:rPr>
          <w:rFonts w:asciiTheme="minorHAnsi" w:hAnsiTheme="minorHAnsi" w:cs="Arial"/>
          <w:bCs/>
          <w:sz w:val="32"/>
          <w:szCs w:val="32"/>
        </w:rPr>
      </w:pPr>
      <w:r>
        <w:rPr>
          <w:rFonts w:asciiTheme="minorHAnsi" w:hAnsiTheme="minorHAnsi" w:cs="Arial"/>
          <w:bCs/>
          <w:noProof/>
          <w:sz w:val="32"/>
          <w:szCs w:val="32"/>
        </w:rPr>
        <w:drawing>
          <wp:anchor distT="0" distB="0" distL="114300" distR="114300" simplePos="0" relativeHeight="251660288" behindDoc="0" locked="0" layoutInCell="1" allowOverlap="1">
            <wp:simplePos x="0" y="0"/>
            <wp:positionH relativeFrom="column">
              <wp:posOffset>4981575</wp:posOffset>
            </wp:positionH>
            <wp:positionV relativeFrom="paragraph">
              <wp:posOffset>249555</wp:posOffset>
            </wp:positionV>
            <wp:extent cx="1351280" cy="4000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ee_mb_blue.jpg"/>
                    <pic:cNvPicPr/>
                  </pic:nvPicPr>
                  <pic:blipFill>
                    <a:blip r:embed="rId8">
                      <a:extLst>
                        <a:ext uri="{28A0092B-C50C-407E-A947-70E740481C1C}">
                          <a14:useLocalDpi xmlns:a14="http://schemas.microsoft.com/office/drawing/2010/main" val="0"/>
                        </a:ext>
                      </a:extLst>
                    </a:blip>
                    <a:stretch>
                      <a:fillRect/>
                    </a:stretch>
                  </pic:blipFill>
                  <pic:spPr>
                    <a:xfrm>
                      <a:off x="0" y="0"/>
                      <a:ext cx="1351280" cy="400050"/>
                    </a:xfrm>
                    <a:prstGeom prst="rect">
                      <a:avLst/>
                    </a:prstGeom>
                  </pic:spPr>
                </pic:pic>
              </a:graphicData>
            </a:graphic>
            <wp14:sizeRelH relativeFrom="margin">
              <wp14:pctWidth>0</wp14:pctWidth>
            </wp14:sizeRelH>
            <wp14:sizeRelV relativeFrom="margin">
              <wp14:pctHeight>0</wp14:pctHeight>
            </wp14:sizeRelV>
          </wp:anchor>
        </w:drawing>
      </w:r>
      <w:r w:rsidR="00490857" w:rsidRPr="00490857">
        <w:rPr>
          <w:rFonts w:asciiTheme="minorHAnsi" w:hAnsiTheme="minorHAnsi" w:cs="Arial"/>
          <w:bCs/>
          <w:noProof/>
          <w:sz w:val="32"/>
          <w:szCs w:val="32"/>
        </w:rPr>
        <w:drawing>
          <wp:anchor distT="0" distB="0" distL="114300" distR="114300" simplePos="0" relativeHeight="251659264" behindDoc="0" locked="0" layoutInCell="1" allowOverlap="1" wp14:anchorId="587845A8" wp14:editId="19153518">
            <wp:simplePos x="0" y="0"/>
            <wp:positionH relativeFrom="margin">
              <wp:align>left</wp:align>
            </wp:positionH>
            <wp:positionV relativeFrom="page">
              <wp:posOffset>474345</wp:posOffset>
            </wp:positionV>
            <wp:extent cx="1297940" cy="89598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7940" cy="895985"/>
                    </a:xfrm>
                    <a:prstGeom prst="rect">
                      <a:avLst/>
                    </a:prstGeom>
                  </pic:spPr>
                </pic:pic>
              </a:graphicData>
            </a:graphic>
          </wp:anchor>
        </w:drawing>
      </w:r>
      <w:r w:rsidR="00490857" w:rsidRPr="00490857">
        <w:rPr>
          <w:rFonts w:asciiTheme="minorHAnsi" w:hAnsiTheme="minorHAnsi" w:cs="Arial"/>
          <w:bCs/>
          <w:sz w:val="32"/>
          <w:szCs w:val="32"/>
        </w:rPr>
        <w:t xml:space="preserve"> </w:t>
      </w:r>
      <w:r w:rsidR="00490857" w:rsidRPr="00AE6B5C">
        <w:rPr>
          <w:rFonts w:asciiTheme="minorHAnsi" w:hAnsiTheme="minorHAnsi" w:cs="Arial"/>
          <w:bCs/>
          <w:sz w:val="32"/>
          <w:szCs w:val="32"/>
        </w:rPr>
        <w:t>IEEE PES Transformers Committee</w:t>
      </w:r>
    </w:p>
    <w:p w:rsidR="00490857" w:rsidRPr="00AE6B5C" w:rsidRDefault="00653709" w:rsidP="00490857">
      <w:pPr>
        <w:tabs>
          <w:tab w:val="center" w:pos="4680"/>
        </w:tabs>
        <w:jc w:val="center"/>
        <w:rPr>
          <w:rFonts w:asciiTheme="minorHAnsi" w:hAnsiTheme="minorHAnsi" w:cs="Arial"/>
          <w:b/>
          <w:bCs/>
          <w:sz w:val="28"/>
          <w:szCs w:val="28"/>
        </w:rPr>
      </w:pPr>
      <w:r>
        <w:rPr>
          <w:rFonts w:asciiTheme="minorHAnsi" w:hAnsiTheme="minorHAnsi" w:cs="Arial"/>
          <w:b/>
          <w:bCs/>
          <w:sz w:val="28"/>
          <w:szCs w:val="28"/>
        </w:rPr>
        <w:t>Fall</w:t>
      </w:r>
      <w:r w:rsidR="000B6856">
        <w:rPr>
          <w:rFonts w:asciiTheme="minorHAnsi" w:hAnsiTheme="minorHAnsi" w:cs="Arial"/>
          <w:b/>
          <w:bCs/>
          <w:sz w:val="28"/>
          <w:szCs w:val="28"/>
        </w:rPr>
        <w:t xml:space="preserve"> 202</w:t>
      </w:r>
      <w:r w:rsidR="00A93D58">
        <w:rPr>
          <w:rFonts w:asciiTheme="minorHAnsi" w:hAnsiTheme="minorHAnsi" w:cs="Arial"/>
          <w:b/>
          <w:bCs/>
          <w:sz w:val="28"/>
          <w:szCs w:val="28"/>
        </w:rPr>
        <w:t>1</w:t>
      </w:r>
      <w:r w:rsidR="00490857" w:rsidRPr="00AE6B5C">
        <w:rPr>
          <w:rFonts w:asciiTheme="minorHAnsi" w:hAnsiTheme="minorHAnsi" w:cs="Arial"/>
          <w:b/>
          <w:bCs/>
          <w:sz w:val="28"/>
          <w:szCs w:val="28"/>
        </w:rPr>
        <w:t xml:space="preserve"> Meeting</w:t>
      </w:r>
    </w:p>
    <w:p w:rsidR="00594E1B" w:rsidRPr="00490857" w:rsidRDefault="000D6983" w:rsidP="00490857">
      <w:pPr>
        <w:pStyle w:val="Title"/>
        <w:tabs>
          <w:tab w:val="center" w:pos="4680"/>
        </w:tabs>
        <w:contextualSpacing/>
        <w:rPr>
          <w:rFonts w:ascii="Arial" w:hAnsi="Arial" w:cs="Arial"/>
          <w:bCs/>
        </w:rPr>
      </w:pPr>
      <w:r>
        <w:rPr>
          <w:rFonts w:asciiTheme="minorHAnsi" w:hAnsiTheme="minorHAnsi" w:cs="Arial"/>
          <w:bCs/>
          <w:sz w:val="28"/>
          <w:szCs w:val="28"/>
        </w:rPr>
        <w:t>Online/Virtual</w:t>
      </w:r>
    </w:p>
    <w:p w:rsidR="009A01D2" w:rsidRDefault="000B6856" w:rsidP="005C6B3A">
      <w:pPr>
        <w:pStyle w:val="Heading1"/>
        <w:spacing w:before="0" w:after="0" w:line="280" w:lineRule="exact"/>
        <w:contextualSpacing/>
        <w:jc w:val="center"/>
        <w:rPr>
          <w:rFonts w:asciiTheme="minorHAnsi" w:hAnsiTheme="minorHAnsi"/>
          <w:sz w:val="28"/>
          <w:szCs w:val="28"/>
        </w:rPr>
      </w:pPr>
      <w:r>
        <w:rPr>
          <w:rFonts w:asciiTheme="minorHAnsi" w:hAnsiTheme="minorHAnsi"/>
        </w:rPr>
        <w:br/>
      </w:r>
      <w:r w:rsidR="00B56F31" w:rsidRPr="00B56F31">
        <w:rPr>
          <w:rFonts w:asciiTheme="minorHAnsi" w:hAnsiTheme="minorHAnsi"/>
        </w:rPr>
        <w:t xml:space="preserve">IEEE 693 Power Transformer Amendment: Power Transformer </w:t>
      </w:r>
      <w:r w:rsidR="008509EC">
        <w:rPr>
          <w:rFonts w:asciiTheme="minorHAnsi" w:hAnsiTheme="minorHAnsi"/>
        </w:rPr>
        <w:br/>
      </w:r>
      <w:bookmarkStart w:id="0" w:name="_GoBack"/>
      <w:bookmarkEnd w:id="0"/>
      <w:r w:rsidR="00B56F31" w:rsidRPr="00B56F31">
        <w:rPr>
          <w:rFonts w:asciiTheme="minorHAnsi" w:hAnsiTheme="minorHAnsi"/>
        </w:rPr>
        <w:t>Structural Dynamics Requirement for Seismic Qualification</w:t>
      </w:r>
      <w:r w:rsidR="009A01D2">
        <w:rPr>
          <w:rFonts w:asciiTheme="minorHAnsi" w:hAnsiTheme="minorHAnsi"/>
        </w:rPr>
        <w:br/>
      </w:r>
    </w:p>
    <w:p w:rsidR="00490857" w:rsidRPr="005C4895" w:rsidRDefault="00490857" w:rsidP="00E03298">
      <w:pPr>
        <w:pStyle w:val="Heading1"/>
        <w:spacing w:before="0" w:after="0" w:line="360" w:lineRule="exact"/>
        <w:contextualSpacing/>
        <w:jc w:val="center"/>
        <w:rPr>
          <w:rFonts w:asciiTheme="minorHAnsi" w:hAnsiTheme="minorHAnsi"/>
          <w:b w:val="0"/>
          <w:bCs w:val="0"/>
          <w:sz w:val="28"/>
          <w:szCs w:val="28"/>
        </w:rPr>
      </w:pPr>
      <w:r w:rsidRPr="005C4895">
        <w:rPr>
          <w:rFonts w:asciiTheme="minorHAnsi" w:hAnsiTheme="minorHAnsi"/>
          <w:sz w:val="28"/>
          <w:szCs w:val="28"/>
        </w:rPr>
        <w:t>— Technical Presentation —</w:t>
      </w:r>
    </w:p>
    <w:p w:rsidR="00490857" w:rsidRPr="005C4895" w:rsidRDefault="00490857" w:rsidP="00490857">
      <w:pPr>
        <w:contextualSpacing/>
        <w:jc w:val="center"/>
        <w:rPr>
          <w:rFonts w:asciiTheme="minorHAnsi" w:hAnsiTheme="minorHAnsi" w:cs="Arial"/>
          <w:b/>
          <w:bCs/>
          <w:sz w:val="24"/>
          <w:szCs w:val="24"/>
        </w:rPr>
      </w:pPr>
      <w:r w:rsidRPr="005C4895">
        <w:rPr>
          <w:rFonts w:asciiTheme="minorHAnsi" w:hAnsiTheme="minorHAnsi" w:cs="Arial"/>
          <w:b/>
          <w:bCs/>
          <w:sz w:val="24"/>
          <w:szCs w:val="24"/>
        </w:rPr>
        <w:t xml:space="preserve">Thursday, </w:t>
      </w:r>
      <w:r w:rsidR="00653709">
        <w:rPr>
          <w:rFonts w:asciiTheme="minorHAnsi" w:hAnsiTheme="minorHAnsi" w:cs="Arial"/>
          <w:b/>
          <w:bCs/>
          <w:sz w:val="24"/>
          <w:szCs w:val="24"/>
        </w:rPr>
        <w:t>November 18</w:t>
      </w:r>
      <w:r w:rsidR="000B6856">
        <w:rPr>
          <w:rFonts w:asciiTheme="minorHAnsi" w:hAnsiTheme="minorHAnsi" w:cs="Arial"/>
          <w:b/>
          <w:bCs/>
          <w:sz w:val="24"/>
          <w:szCs w:val="24"/>
        </w:rPr>
        <w:t>, 202</w:t>
      </w:r>
      <w:r w:rsidR="00522CE4">
        <w:rPr>
          <w:rFonts w:asciiTheme="minorHAnsi" w:hAnsiTheme="minorHAnsi" w:cs="Arial"/>
          <w:b/>
          <w:bCs/>
          <w:sz w:val="24"/>
          <w:szCs w:val="24"/>
        </w:rPr>
        <w:t>1</w:t>
      </w:r>
    </w:p>
    <w:p w:rsidR="00490857" w:rsidRPr="005C4895" w:rsidRDefault="00490857" w:rsidP="00726ADF">
      <w:pPr>
        <w:spacing w:line="240" w:lineRule="exact"/>
        <w:contextualSpacing/>
        <w:jc w:val="center"/>
        <w:rPr>
          <w:rFonts w:asciiTheme="minorHAnsi" w:hAnsiTheme="minorHAnsi" w:cs="Arial"/>
          <w:b/>
          <w:bCs/>
          <w:sz w:val="24"/>
          <w:szCs w:val="24"/>
        </w:rPr>
      </w:pPr>
      <w:r>
        <w:rPr>
          <w:rFonts w:asciiTheme="minorHAnsi" w:hAnsiTheme="minorHAnsi" w:cs="Arial"/>
          <w:b/>
          <w:bCs/>
          <w:sz w:val="24"/>
          <w:szCs w:val="24"/>
        </w:rPr>
        <w:br/>
      </w:r>
      <w:r w:rsidR="00591527">
        <w:rPr>
          <w:rFonts w:asciiTheme="minorHAnsi" w:hAnsiTheme="minorHAnsi" w:cs="Arial"/>
          <w:b/>
          <w:bCs/>
          <w:sz w:val="24"/>
          <w:szCs w:val="24"/>
        </w:rPr>
        <w:t xml:space="preserve">By </w:t>
      </w:r>
      <w:r w:rsidR="00B56F31">
        <w:rPr>
          <w:rFonts w:asciiTheme="minorHAnsi" w:hAnsiTheme="minorHAnsi" w:cs="Arial"/>
          <w:b/>
          <w:bCs/>
          <w:sz w:val="24"/>
          <w:szCs w:val="24"/>
        </w:rPr>
        <w:t>Jon Bender and Michael Riley</w:t>
      </w:r>
    </w:p>
    <w:p w:rsidR="00293FC8" w:rsidRDefault="00293FC8" w:rsidP="00FF4D6A">
      <w:pPr>
        <w:spacing w:line="280" w:lineRule="exact"/>
        <w:rPr>
          <w:rFonts w:ascii="Arial" w:hAnsi="Arial" w:cs="Arial"/>
          <w:b/>
          <w:bCs/>
          <w:sz w:val="22"/>
          <w:szCs w:val="22"/>
        </w:rPr>
      </w:pPr>
    </w:p>
    <w:p w:rsidR="00594E1B" w:rsidRPr="00490857" w:rsidRDefault="00D82314" w:rsidP="00490857">
      <w:pPr>
        <w:pStyle w:val="ListParagraph"/>
        <w:numPr>
          <w:ilvl w:val="0"/>
          <w:numId w:val="4"/>
        </w:numPr>
        <w:tabs>
          <w:tab w:val="left" w:pos="0"/>
        </w:tabs>
        <w:spacing w:after="80" w:line="240" w:lineRule="auto"/>
        <w:ind w:left="360"/>
        <w:rPr>
          <w:rFonts w:cs="Arial"/>
          <w:b/>
          <w:bCs/>
          <w:sz w:val="28"/>
          <w:szCs w:val="28"/>
        </w:rPr>
      </w:pPr>
      <w:r w:rsidRPr="00490857">
        <w:rPr>
          <w:rFonts w:cs="Arial"/>
          <w:b/>
          <w:bCs/>
          <w:sz w:val="28"/>
          <w:szCs w:val="28"/>
          <w:u w:val="single"/>
        </w:rPr>
        <w:t>Abstract</w:t>
      </w:r>
    </w:p>
    <w:p w:rsidR="00B56F31" w:rsidRPr="00B56F31" w:rsidRDefault="00B56F31" w:rsidP="00B56F31">
      <w:pPr>
        <w:tabs>
          <w:tab w:val="left" w:pos="630"/>
        </w:tabs>
        <w:spacing w:before="80" w:afterLines="60" w:after="144" w:line="252" w:lineRule="auto"/>
        <w:ind w:left="360"/>
        <w:rPr>
          <w:rFonts w:asciiTheme="minorHAnsi" w:hAnsiTheme="minorHAnsi" w:cs="Arial"/>
          <w:sz w:val="22"/>
          <w:szCs w:val="22"/>
        </w:rPr>
      </w:pPr>
      <w:r w:rsidRPr="00B56F31">
        <w:rPr>
          <w:rFonts w:asciiTheme="minorHAnsi" w:hAnsiTheme="minorHAnsi" w:cs="Arial"/>
          <w:sz w:val="22"/>
          <w:szCs w:val="22"/>
        </w:rPr>
        <w:t xml:space="preserve">Power transformers are critical elements of the electric power grid with a complex and time-consuming procurement </w:t>
      </w:r>
      <w:r>
        <w:rPr>
          <w:rFonts w:asciiTheme="minorHAnsi" w:hAnsiTheme="minorHAnsi" w:cs="Arial"/>
          <w:sz w:val="22"/>
          <w:szCs w:val="22"/>
        </w:rPr>
        <w:t>and</w:t>
      </w:r>
      <w:r w:rsidRPr="00B56F31">
        <w:rPr>
          <w:rFonts w:asciiTheme="minorHAnsi" w:hAnsiTheme="minorHAnsi" w:cs="Arial"/>
          <w:sz w:val="22"/>
          <w:szCs w:val="22"/>
        </w:rPr>
        <w:t xml:space="preserve"> installation process. Despite current seismic qualification requirements, numerous power transformer seismic bushing and surge arrester failures have been documented.</w:t>
      </w:r>
    </w:p>
    <w:p w:rsidR="00293FC8" w:rsidRDefault="00B56F31" w:rsidP="00B56F31">
      <w:pPr>
        <w:tabs>
          <w:tab w:val="left" w:pos="630"/>
        </w:tabs>
        <w:spacing w:before="80" w:afterLines="60" w:after="144" w:line="252" w:lineRule="auto"/>
        <w:ind w:left="360"/>
        <w:rPr>
          <w:rFonts w:asciiTheme="minorHAnsi" w:hAnsiTheme="minorHAnsi" w:cs="Arial"/>
          <w:sz w:val="22"/>
          <w:szCs w:val="22"/>
        </w:rPr>
      </w:pPr>
      <w:r w:rsidRPr="00B56F31">
        <w:rPr>
          <w:rFonts w:asciiTheme="minorHAnsi" w:hAnsiTheme="minorHAnsi" w:cs="Arial"/>
          <w:sz w:val="22"/>
          <w:szCs w:val="22"/>
        </w:rPr>
        <w:t>The current static analysis method incorrectly assumes the massive oil-filled tank to be “rigid.” Based on both analytical and empirical research, the design of the power transformer can cause the bushing and surge arrester loads to be amplified beyond their stand-alone seismic qualification limits. A dynamic analysis requirement will capture higher-than-assumed transformer component amplification caused by the structural dynamics of any power transformer design.</w:t>
      </w:r>
    </w:p>
    <w:p w:rsidR="00594E1B" w:rsidRPr="005E636D" w:rsidRDefault="00594E1B" w:rsidP="005E636D">
      <w:pPr>
        <w:pStyle w:val="ListParagraph"/>
        <w:numPr>
          <w:ilvl w:val="0"/>
          <w:numId w:val="4"/>
        </w:numPr>
        <w:spacing w:before="240" w:after="80" w:line="240" w:lineRule="auto"/>
        <w:ind w:left="360"/>
        <w:contextualSpacing w:val="0"/>
        <w:rPr>
          <w:rFonts w:cs="Arial"/>
          <w:b/>
          <w:bCs/>
          <w:sz w:val="28"/>
          <w:szCs w:val="28"/>
        </w:rPr>
      </w:pPr>
      <w:r w:rsidRPr="005E636D">
        <w:rPr>
          <w:rFonts w:cs="Arial"/>
          <w:b/>
          <w:bCs/>
          <w:sz w:val="28"/>
          <w:szCs w:val="28"/>
          <w:u w:val="single"/>
        </w:rPr>
        <w:t>Learning Objectives</w:t>
      </w:r>
    </w:p>
    <w:p w:rsidR="001C4694" w:rsidRDefault="00E03298" w:rsidP="00271F7D">
      <w:pPr>
        <w:pStyle w:val="ListParagraph"/>
        <w:spacing w:after="20"/>
        <w:ind w:left="360"/>
        <w:contextualSpacing w:val="0"/>
        <w:rPr>
          <w:rFonts w:cstheme="minorHAnsi"/>
        </w:rPr>
      </w:pPr>
      <w:r>
        <w:rPr>
          <w:rFonts w:cstheme="minorHAnsi"/>
        </w:rPr>
        <w:t>This t</w:t>
      </w:r>
      <w:r w:rsidRPr="00E03298">
        <w:rPr>
          <w:rFonts w:cstheme="minorHAnsi"/>
        </w:rPr>
        <w:t>utorial provides the f</w:t>
      </w:r>
      <w:r>
        <w:rPr>
          <w:rFonts w:cstheme="minorHAnsi"/>
        </w:rPr>
        <w:t>ollowing learning opportunities:</w:t>
      </w:r>
    </w:p>
    <w:p w:rsidR="00B56F31" w:rsidRPr="00B56F31" w:rsidRDefault="00B56F31" w:rsidP="00B56F31">
      <w:pPr>
        <w:pStyle w:val="ListParagraph"/>
        <w:numPr>
          <w:ilvl w:val="0"/>
          <w:numId w:val="19"/>
        </w:numPr>
        <w:autoSpaceDE w:val="0"/>
        <w:autoSpaceDN w:val="0"/>
        <w:adjustRightInd w:val="0"/>
        <w:spacing w:line="252" w:lineRule="auto"/>
        <w:rPr>
          <w:rFonts w:cstheme="minorHAnsi"/>
        </w:rPr>
      </w:pPr>
      <w:r w:rsidRPr="00B56F31">
        <w:rPr>
          <w:rFonts w:cstheme="minorHAnsi"/>
        </w:rPr>
        <w:t>Overview of the IEEE 693 power transformer amendment under development</w:t>
      </w:r>
    </w:p>
    <w:p w:rsidR="00FF4D6A" w:rsidRPr="00FF4D6A" w:rsidRDefault="00B56F31" w:rsidP="00B56F31">
      <w:pPr>
        <w:pStyle w:val="ListParagraph"/>
        <w:numPr>
          <w:ilvl w:val="0"/>
          <w:numId w:val="19"/>
        </w:numPr>
        <w:autoSpaceDE w:val="0"/>
        <w:autoSpaceDN w:val="0"/>
        <w:adjustRightInd w:val="0"/>
        <w:spacing w:line="252" w:lineRule="auto"/>
        <w:rPr>
          <w:rFonts w:cstheme="minorHAnsi"/>
        </w:rPr>
      </w:pPr>
      <w:r w:rsidRPr="00B56F31">
        <w:rPr>
          <w:rFonts w:cstheme="minorHAnsi"/>
        </w:rPr>
        <w:t>Rationale that led to the amendment</w:t>
      </w:r>
    </w:p>
    <w:p w:rsidR="00594E1B" w:rsidRPr="009C4419" w:rsidRDefault="00594E1B" w:rsidP="00B56F31">
      <w:pPr>
        <w:pStyle w:val="ListParagraph"/>
        <w:numPr>
          <w:ilvl w:val="0"/>
          <w:numId w:val="4"/>
        </w:numPr>
        <w:autoSpaceDE w:val="0"/>
        <w:autoSpaceDN w:val="0"/>
        <w:adjustRightInd w:val="0"/>
        <w:spacing w:before="360" w:after="80" w:line="240" w:lineRule="auto"/>
        <w:ind w:left="360"/>
        <w:contextualSpacing w:val="0"/>
        <w:rPr>
          <w:rFonts w:cs="Arial"/>
          <w:b/>
          <w:sz w:val="28"/>
          <w:szCs w:val="28"/>
        </w:rPr>
      </w:pPr>
      <w:r w:rsidRPr="009C4419">
        <w:rPr>
          <w:rFonts w:cs="Arial"/>
          <w:b/>
          <w:bCs/>
          <w:sz w:val="28"/>
          <w:szCs w:val="28"/>
          <w:u w:val="single"/>
        </w:rPr>
        <w:t>Learning Outcomes</w:t>
      </w:r>
    </w:p>
    <w:p w:rsidR="00FE3C25" w:rsidRPr="009C4419" w:rsidRDefault="000F0DB0" w:rsidP="00A370BB">
      <w:pPr>
        <w:tabs>
          <w:tab w:val="left" w:pos="360"/>
        </w:tabs>
        <w:autoSpaceDE w:val="0"/>
        <w:autoSpaceDN w:val="0"/>
        <w:adjustRightInd w:val="0"/>
        <w:spacing w:after="20" w:line="276" w:lineRule="auto"/>
        <w:ind w:left="360"/>
        <w:rPr>
          <w:rFonts w:asciiTheme="minorHAnsi" w:hAnsiTheme="minorHAnsi" w:cs="Arial"/>
          <w:sz w:val="22"/>
          <w:szCs w:val="22"/>
        </w:rPr>
      </w:pPr>
      <w:r>
        <w:rPr>
          <w:rFonts w:asciiTheme="minorHAnsi" w:hAnsiTheme="minorHAnsi" w:cs="Arial"/>
          <w:sz w:val="22"/>
          <w:szCs w:val="22"/>
        </w:rPr>
        <w:t>By</w:t>
      </w:r>
      <w:r w:rsidR="00FE3C25" w:rsidRPr="009C4419">
        <w:rPr>
          <w:rFonts w:asciiTheme="minorHAnsi" w:hAnsiTheme="minorHAnsi" w:cs="Arial"/>
          <w:sz w:val="22"/>
          <w:szCs w:val="22"/>
        </w:rPr>
        <w:t xml:space="preserve"> attending this </w:t>
      </w:r>
      <w:r>
        <w:rPr>
          <w:rFonts w:asciiTheme="minorHAnsi" w:hAnsiTheme="minorHAnsi" w:cs="Arial"/>
          <w:sz w:val="22"/>
          <w:szCs w:val="22"/>
        </w:rPr>
        <w:t>tutorial</w:t>
      </w:r>
      <w:r w:rsidR="00FE3C25" w:rsidRPr="009C4419">
        <w:rPr>
          <w:rFonts w:asciiTheme="minorHAnsi" w:hAnsiTheme="minorHAnsi" w:cs="Arial"/>
          <w:sz w:val="22"/>
          <w:szCs w:val="22"/>
        </w:rPr>
        <w:t xml:space="preserve">, </w:t>
      </w:r>
      <w:r w:rsidR="001C32E6">
        <w:rPr>
          <w:rFonts w:asciiTheme="minorHAnsi" w:hAnsiTheme="minorHAnsi" w:cs="Arial"/>
          <w:sz w:val="22"/>
          <w:szCs w:val="22"/>
        </w:rPr>
        <w:t>attendee</w:t>
      </w:r>
      <w:r w:rsidR="005D3086" w:rsidRPr="009C4419">
        <w:rPr>
          <w:rFonts w:asciiTheme="minorHAnsi" w:hAnsiTheme="minorHAnsi" w:cs="Arial"/>
          <w:sz w:val="22"/>
          <w:szCs w:val="22"/>
        </w:rPr>
        <w:t>s</w:t>
      </w:r>
      <w:r w:rsidR="00FE3C25" w:rsidRPr="009C4419">
        <w:rPr>
          <w:rFonts w:asciiTheme="minorHAnsi" w:hAnsiTheme="minorHAnsi" w:cs="Arial"/>
          <w:sz w:val="22"/>
          <w:szCs w:val="22"/>
        </w:rPr>
        <w:t xml:space="preserve"> will gain an understanding of the followin</w:t>
      </w:r>
      <w:r>
        <w:rPr>
          <w:rFonts w:asciiTheme="minorHAnsi" w:hAnsiTheme="minorHAnsi" w:cs="Arial"/>
          <w:sz w:val="22"/>
          <w:szCs w:val="22"/>
        </w:rPr>
        <w:t>g</w:t>
      </w:r>
      <w:r w:rsidR="001C4694">
        <w:t>:</w:t>
      </w:r>
    </w:p>
    <w:p w:rsidR="00B56F31" w:rsidRPr="00B56F31" w:rsidRDefault="00B56F31" w:rsidP="00B56F31">
      <w:pPr>
        <w:pStyle w:val="ListParagraph"/>
        <w:numPr>
          <w:ilvl w:val="0"/>
          <w:numId w:val="18"/>
        </w:numPr>
        <w:rPr>
          <w:rFonts w:cstheme="minorHAnsi"/>
        </w:rPr>
      </w:pPr>
      <w:r w:rsidRPr="00B56F31">
        <w:rPr>
          <w:rFonts w:cstheme="minorHAnsi"/>
        </w:rPr>
        <w:t>Concerns regarding the use of static analysis for large (&gt;1</w:t>
      </w:r>
      <w:r>
        <w:rPr>
          <w:rFonts w:cstheme="minorHAnsi"/>
        </w:rPr>
        <w:t>38kV) power transformer designs</w:t>
      </w:r>
    </w:p>
    <w:p w:rsidR="00B56F31" w:rsidRPr="00B56F31" w:rsidRDefault="00B56F31" w:rsidP="00B56F31">
      <w:pPr>
        <w:pStyle w:val="ListParagraph"/>
        <w:numPr>
          <w:ilvl w:val="0"/>
          <w:numId w:val="18"/>
        </w:numPr>
        <w:rPr>
          <w:rFonts w:cstheme="minorHAnsi"/>
        </w:rPr>
      </w:pPr>
      <w:r w:rsidRPr="00B56F31">
        <w:rPr>
          <w:rFonts w:cstheme="minorHAnsi"/>
        </w:rPr>
        <w:t>Why dynamic analysis improves seismic qualification</w:t>
      </w:r>
    </w:p>
    <w:p w:rsidR="00B56F31" w:rsidRPr="00B56F31" w:rsidRDefault="00B56F31" w:rsidP="00B56F31">
      <w:pPr>
        <w:pStyle w:val="ListParagraph"/>
        <w:numPr>
          <w:ilvl w:val="0"/>
          <w:numId w:val="18"/>
        </w:numPr>
        <w:rPr>
          <w:rFonts w:cstheme="minorHAnsi"/>
        </w:rPr>
      </w:pPr>
      <w:r w:rsidRPr="00B56F31">
        <w:rPr>
          <w:rFonts w:cstheme="minorHAnsi"/>
        </w:rPr>
        <w:t>How power transformer seismic qualification wor</w:t>
      </w:r>
      <w:r>
        <w:rPr>
          <w:rFonts w:cstheme="minorHAnsi"/>
        </w:rPr>
        <w:t>k would change</w:t>
      </w:r>
    </w:p>
    <w:p w:rsidR="00FD7E90" w:rsidRPr="00B56F31" w:rsidRDefault="00B56F31" w:rsidP="00917E45">
      <w:pPr>
        <w:pStyle w:val="ListParagraph"/>
        <w:numPr>
          <w:ilvl w:val="0"/>
          <w:numId w:val="18"/>
        </w:numPr>
        <w:rPr>
          <w:rFonts w:cstheme="minorHAnsi"/>
        </w:rPr>
      </w:pPr>
      <w:r w:rsidRPr="00B56F31">
        <w:rPr>
          <w:rFonts w:cstheme="minorHAnsi"/>
        </w:rPr>
        <w:t>How the amendment would impact power transformer bushing and surge arrester seismic qualification</w:t>
      </w:r>
    </w:p>
    <w:p w:rsidR="00A30D16" w:rsidRPr="004E23C6" w:rsidRDefault="000F0DB0" w:rsidP="00B56F31">
      <w:pPr>
        <w:pStyle w:val="ListParagraph"/>
        <w:numPr>
          <w:ilvl w:val="0"/>
          <w:numId w:val="4"/>
        </w:numPr>
        <w:spacing w:before="360" w:after="80" w:line="240" w:lineRule="auto"/>
        <w:ind w:left="360"/>
        <w:contextualSpacing w:val="0"/>
        <w:rPr>
          <w:rFonts w:cs="Arial"/>
          <w:b/>
          <w:sz w:val="28"/>
          <w:szCs w:val="28"/>
        </w:rPr>
      </w:pPr>
      <w:r>
        <w:rPr>
          <w:rFonts w:cs="Arial"/>
          <w:b/>
          <w:bCs/>
          <w:sz w:val="28"/>
          <w:szCs w:val="28"/>
          <w:u w:val="single"/>
        </w:rPr>
        <w:t>P</w:t>
      </w:r>
      <w:r w:rsidR="00594E1B" w:rsidRPr="000D68E1">
        <w:rPr>
          <w:rFonts w:cs="Arial"/>
          <w:b/>
          <w:bCs/>
          <w:sz w:val="28"/>
          <w:szCs w:val="28"/>
          <w:u w:val="single"/>
        </w:rPr>
        <w:t>resenter</w:t>
      </w:r>
      <w:r w:rsidR="00556887" w:rsidRPr="000D68E1">
        <w:rPr>
          <w:rFonts w:cs="Arial"/>
          <w:b/>
          <w:bCs/>
          <w:sz w:val="28"/>
          <w:szCs w:val="28"/>
          <w:u w:val="single"/>
        </w:rPr>
        <w:t>s</w:t>
      </w:r>
      <w:r w:rsidR="00594E1B" w:rsidRPr="000D68E1">
        <w:rPr>
          <w:rFonts w:cs="Arial"/>
          <w:b/>
          <w:bCs/>
          <w:sz w:val="28"/>
          <w:szCs w:val="28"/>
          <w:u w:val="single"/>
        </w:rPr>
        <w:t>’ Biographies</w:t>
      </w:r>
    </w:p>
    <w:p w:rsidR="00B56F31" w:rsidRPr="00B56F31" w:rsidRDefault="00B56F31" w:rsidP="009323C3">
      <w:pPr>
        <w:autoSpaceDE w:val="0"/>
        <w:autoSpaceDN w:val="0"/>
        <w:adjustRightInd w:val="0"/>
        <w:spacing w:after="120" w:line="252" w:lineRule="auto"/>
        <w:ind w:left="360"/>
        <w:rPr>
          <w:rFonts w:asciiTheme="minorHAnsi" w:hAnsiTheme="minorHAnsi" w:cstheme="minorHAnsi"/>
          <w:sz w:val="22"/>
          <w:szCs w:val="22"/>
        </w:rPr>
      </w:pPr>
      <w:r w:rsidRPr="00B56F31">
        <w:rPr>
          <w:rFonts w:asciiTheme="minorHAnsi" w:hAnsiTheme="minorHAnsi" w:cstheme="minorHAnsi"/>
          <w:b/>
          <w:sz w:val="22"/>
          <w:szCs w:val="22"/>
        </w:rPr>
        <w:t>Jon Bender</w:t>
      </w:r>
      <w:r w:rsidRPr="00B56F31">
        <w:rPr>
          <w:rFonts w:asciiTheme="minorHAnsi" w:hAnsiTheme="minorHAnsi" w:cstheme="minorHAnsi"/>
          <w:sz w:val="22"/>
          <w:szCs w:val="22"/>
        </w:rPr>
        <w:t xml:space="preserve"> is an engineer and researcher with W.E. Gundy &amp; Associates, Inc., an industry leade</w:t>
      </w:r>
      <w:r>
        <w:rPr>
          <w:rFonts w:asciiTheme="minorHAnsi" w:hAnsiTheme="minorHAnsi" w:cstheme="minorHAnsi"/>
          <w:sz w:val="22"/>
          <w:szCs w:val="22"/>
        </w:rPr>
        <w:t xml:space="preserve">r in seismic analysis, testing </w:t>
      </w:r>
      <w:r w:rsidRPr="00B56F31">
        <w:rPr>
          <w:rFonts w:asciiTheme="minorHAnsi" w:hAnsiTheme="minorHAnsi" w:cstheme="minorHAnsi"/>
          <w:sz w:val="22"/>
          <w:szCs w:val="22"/>
        </w:rPr>
        <w:t>and design. Jon has completed hundreds of T&amp;D seismic analysis/qualification projects</w:t>
      </w:r>
      <w:r>
        <w:rPr>
          <w:rFonts w:asciiTheme="minorHAnsi" w:hAnsiTheme="minorHAnsi" w:cstheme="minorHAnsi"/>
          <w:sz w:val="22"/>
          <w:szCs w:val="22"/>
        </w:rPr>
        <w:t>,</w:t>
      </w:r>
      <w:r w:rsidRPr="00B56F31">
        <w:rPr>
          <w:rFonts w:asciiTheme="minorHAnsi" w:hAnsiTheme="minorHAnsi" w:cstheme="minorHAnsi"/>
          <w:sz w:val="22"/>
          <w:szCs w:val="22"/>
        </w:rPr>
        <w:t xml:space="preserve"> including risk assessment,</w:t>
      </w:r>
      <w:r>
        <w:rPr>
          <w:rFonts w:asciiTheme="minorHAnsi" w:hAnsiTheme="minorHAnsi" w:cstheme="minorHAnsi"/>
          <w:sz w:val="22"/>
          <w:szCs w:val="22"/>
        </w:rPr>
        <w:t xml:space="preserve"> equipment design consultation and published research. He</w:t>
      </w:r>
      <w:r w:rsidRPr="00B56F31">
        <w:rPr>
          <w:rFonts w:asciiTheme="minorHAnsi" w:hAnsiTheme="minorHAnsi" w:cstheme="minorHAnsi"/>
          <w:sz w:val="22"/>
          <w:szCs w:val="22"/>
        </w:rPr>
        <w:t xml:space="preserve"> has been involved with the IEEE</w:t>
      </w:r>
      <w:r w:rsidR="00CA3B78">
        <w:rPr>
          <w:rFonts w:asciiTheme="minorHAnsi" w:hAnsiTheme="minorHAnsi" w:cstheme="minorHAnsi"/>
          <w:sz w:val="22"/>
          <w:szCs w:val="22"/>
        </w:rPr>
        <w:t xml:space="preserve"> </w:t>
      </w:r>
      <w:r w:rsidRPr="00B56F31">
        <w:rPr>
          <w:rFonts w:asciiTheme="minorHAnsi" w:hAnsiTheme="minorHAnsi" w:cstheme="minorHAnsi"/>
          <w:sz w:val="22"/>
          <w:szCs w:val="22"/>
        </w:rPr>
        <w:t>693 committee for the past few years, participates in the EPRI Substatio</w:t>
      </w:r>
      <w:r>
        <w:rPr>
          <w:rFonts w:asciiTheme="minorHAnsi" w:hAnsiTheme="minorHAnsi" w:cstheme="minorHAnsi"/>
          <w:sz w:val="22"/>
          <w:szCs w:val="22"/>
        </w:rPr>
        <w:t xml:space="preserve">n Seismic Studied Group (SSSG) </w:t>
      </w:r>
      <w:r w:rsidRPr="00B56F31">
        <w:rPr>
          <w:rFonts w:asciiTheme="minorHAnsi" w:hAnsiTheme="minorHAnsi" w:cstheme="minorHAnsi"/>
          <w:sz w:val="22"/>
          <w:szCs w:val="22"/>
        </w:rPr>
        <w:t xml:space="preserve">and routinely supports both qualification and research testing at various shake-table labs. </w:t>
      </w:r>
      <w:r>
        <w:rPr>
          <w:rFonts w:asciiTheme="minorHAnsi" w:hAnsiTheme="minorHAnsi" w:cstheme="minorHAnsi"/>
          <w:sz w:val="22"/>
          <w:szCs w:val="22"/>
        </w:rPr>
        <w:br/>
      </w:r>
      <w:r w:rsidRPr="00B56F31">
        <w:rPr>
          <w:rFonts w:asciiTheme="minorHAnsi" w:hAnsiTheme="minorHAnsi" w:cstheme="minorHAnsi"/>
          <w:sz w:val="22"/>
          <w:szCs w:val="22"/>
        </w:rPr>
        <w:t>Jon received his M</w:t>
      </w:r>
      <w:r>
        <w:rPr>
          <w:rFonts w:asciiTheme="minorHAnsi" w:hAnsiTheme="minorHAnsi" w:cstheme="minorHAnsi"/>
          <w:sz w:val="22"/>
          <w:szCs w:val="22"/>
        </w:rPr>
        <w:t xml:space="preserve">aster of </w:t>
      </w:r>
      <w:r w:rsidRPr="00B56F31">
        <w:rPr>
          <w:rFonts w:asciiTheme="minorHAnsi" w:hAnsiTheme="minorHAnsi" w:cstheme="minorHAnsi"/>
          <w:sz w:val="22"/>
          <w:szCs w:val="22"/>
        </w:rPr>
        <w:t>S</w:t>
      </w:r>
      <w:r>
        <w:rPr>
          <w:rFonts w:asciiTheme="minorHAnsi" w:hAnsiTheme="minorHAnsi" w:cstheme="minorHAnsi"/>
          <w:sz w:val="22"/>
          <w:szCs w:val="22"/>
        </w:rPr>
        <w:t>cience Degree</w:t>
      </w:r>
      <w:r w:rsidRPr="00B56F31">
        <w:rPr>
          <w:rFonts w:asciiTheme="minorHAnsi" w:hAnsiTheme="minorHAnsi" w:cstheme="minorHAnsi"/>
          <w:sz w:val="22"/>
          <w:szCs w:val="22"/>
        </w:rPr>
        <w:t xml:space="preserve"> in Civil/Structural Engineering from Boise State University.</w:t>
      </w:r>
    </w:p>
    <w:p w:rsidR="00B56F31" w:rsidRDefault="00B56F31" w:rsidP="00175940">
      <w:pPr>
        <w:autoSpaceDE w:val="0"/>
        <w:autoSpaceDN w:val="0"/>
        <w:adjustRightInd w:val="0"/>
        <w:spacing w:after="120" w:line="252" w:lineRule="auto"/>
        <w:ind w:left="360"/>
        <w:rPr>
          <w:rFonts w:asciiTheme="minorHAnsi" w:hAnsiTheme="minorHAnsi" w:cstheme="minorHAnsi"/>
          <w:b/>
          <w:sz w:val="22"/>
          <w:szCs w:val="22"/>
        </w:rPr>
      </w:pPr>
    </w:p>
    <w:p w:rsidR="00B56F31" w:rsidRDefault="00B56F31" w:rsidP="00175940">
      <w:pPr>
        <w:autoSpaceDE w:val="0"/>
        <w:autoSpaceDN w:val="0"/>
        <w:adjustRightInd w:val="0"/>
        <w:spacing w:after="120" w:line="252" w:lineRule="auto"/>
        <w:ind w:left="360"/>
        <w:rPr>
          <w:rFonts w:asciiTheme="minorHAnsi" w:hAnsiTheme="minorHAnsi" w:cstheme="minorHAnsi"/>
          <w:b/>
          <w:sz w:val="22"/>
          <w:szCs w:val="22"/>
        </w:rPr>
      </w:pPr>
    </w:p>
    <w:p w:rsidR="00815A4A" w:rsidRPr="00FF219A" w:rsidRDefault="00B56F31" w:rsidP="009323C3">
      <w:pPr>
        <w:autoSpaceDE w:val="0"/>
        <w:autoSpaceDN w:val="0"/>
        <w:adjustRightInd w:val="0"/>
        <w:spacing w:before="240" w:after="240" w:line="252" w:lineRule="auto"/>
        <w:ind w:left="360"/>
        <w:rPr>
          <w:rFonts w:asciiTheme="minorHAnsi" w:hAnsiTheme="minorHAnsi" w:cstheme="minorHAnsi"/>
          <w:sz w:val="22"/>
          <w:szCs w:val="22"/>
        </w:rPr>
      </w:pPr>
      <w:r w:rsidRPr="00B56F31">
        <w:rPr>
          <w:rFonts w:asciiTheme="minorHAnsi" w:hAnsiTheme="minorHAnsi" w:cstheme="minorHAnsi"/>
          <w:b/>
          <w:sz w:val="22"/>
          <w:szCs w:val="22"/>
        </w:rPr>
        <w:lastRenderedPageBreak/>
        <w:t>Michael Riley</w:t>
      </w:r>
      <w:r w:rsidRPr="00B56F31">
        <w:rPr>
          <w:rFonts w:asciiTheme="minorHAnsi" w:hAnsiTheme="minorHAnsi" w:cstheme="minorHAnsi"/>
          <w:sz w:val="22"/>
          <w:szCs w:val="22"/>
        </w:rPr>
        <w:t xml:space="preserve"> </w:t>
      </w:r>
      <w:r w:rsidR="00CA3B78" w:rsidRPr="00B56F31">
        <w:rPr>
          <w:rFonts w:asciiTheme="minorHAnsi" w:hAnsiTheme="minorHAnsi" w:cstheme="minorHAnsi"/>
          <w:sz w:val="22"/>
          <w:szCs w:val="22"/>
        </w:rPr>
        <w:t xml:space="preserve">is a </w:t>
      </w:r>
      <w:r w:rsidR="00CA3B78">
        <w:rPr>
          <w:rFonts w:asciiTheme="minorHAnsi" w:hAnsiTheme="minorHAnsi" w:cstheme="minorHAnsi"/>
          <w:sz w:val="22"/>
          <w:szCs w:val="22"/>
        </w:rPr>
        <w:t>c</w:t>
      </w:r>
      <w:r w:rsidR="00CA3B78" w:rsidRPr="00B56F31">
        <w:rPr>
          <w:rFonts w:asciiTheme="minorHAnsi" w:hAnsiTheme="minorHAnsi" w:cstheme="minorHAnsi"/>
          <w:sz w:val="22"/>
          <w:szCs w:val="22"/>
        </w:rPr>
        <w:t xml:space="preserve">ivil </w:t>
      </w:r>
      <w:r w:rsidR="00CA3B78">
        <w:rPr>
          <w:rFonts w:asciiTheme="minorHAnsi" w:hAnsiTheme="minorHAnsi" w:cstheme="minorHAnsi"/>
          <w:sz w:val="22"/>
          <w:szCs w:val="22"/>
        </w:rPr>
        <w:t>e</w:t>
      </w:r>
      <w:r w:rsidR="00CA3B78" w:rsidRPr="00B56F31">
        <w:rPr>
          <w:rFonts w:asciiTheme="minorHAnsi" w:hAnsiTheme="minorHAnsi" w:cstheme="minorHAnsi"/>
          <w:sz w:val="22"/>
          <w:szCs w:val="22"/>
        </w:rPr>
        <w:t>ngineer at Bonneville Power Administration working in the Transmission Engineering &amp; Technica</w:t>
      </w:r>
      <w:r w:rsidR="00CA3B78">
        <w:rPr>
          <w:rFonts w:asciiTheme="minorHAnsi" w:hAnsiTheme="minorHAnsi" w:cstheme="minorHAnsi"/>
          <w:sz w:val="22"/>
          <w:szCs w:val="22"/>
        </w:rPr>
        <w:t>l Services Policy &amp; Governance G</w:t>
      </w:r>
      <w:r w:rsidR="00CA3B78" w:rsidRPr="00B56F31">
        <w:rPr>
          <w:rFonts w:asciiTheme="minorHAnsi" w:hAnsiTheme="minorHAnsi" w:cstheme="minorHAnsi"/>
          <w:sz w:val="22"/>
          <w:szCs w:val="22"/>
        </w:rPr>
        <w:t xml:space="preserve">roup. </w:t>
      </w:r>
      <w:r w:rsidR="00CA3B78">
        <w:rPr>
          <w:rFonts w:asciiTheme="minorHAnsi" w:hAnsiTheme="minorHAnsi" w:cstheme="minorHAnsi"/>
          <w:sz w:val="22"/>
          <w:szCs w:val="22"/>
        </w:rPr>
        <w:t>With</w:t>
      </w:r>
      <w:r w:rsidR="00CA3B78" w:rsidRPr="00B56F31">
        <w:rPr>
          <w:rFonts w:asciiTheme="minorHAnsi" w:hAnsiTheme="minorHAnsi" w:cstheme="minorHAnsi"/>
          <w:sz w:val="22"/>
          <w:szCs w:val="22"/>
        </w:rPr>
        <w:t xml:space="preserve"> 19 years of experienc</w:t>
      </w:r>
      <w:r w:rsidR="00CA3B78">
        <w:rPr>
          <w:rFonts w:asciiTheme="minorHAnsi" w:hAnsiTheme="minorHAnsi" w:cstheme="minorHAnsi"/>
          <w:sz w:val="22"/>
          <w:szCs w:val="22"/>
        </w:rPr>
        <w:t>e in the electric power industry,</w:t>
      </w:r>
      <w:r w:rsidR="00CA3B78" w:rsidRPr="00B56F31">
        <w:rPr>
          <w:rFonts w:asciiTheme="minorHAnsi" w:hAnsiTheme="minorHAnsi" w:cstheme="minorHAnsi"/>
          <w:sz w:val="22"/>
          <w:szCs w:val="22"/>
        </w:rPr>
        <w:t xml:space="preserve"> </w:t>
      </w:r>
      <w:r w:rsidR="00CA3B78">
        <w:rPr>
          <w:rFonts w:asciiTheme="minorHAnsi" w:hAnsiTheme="minorHAnsi" w:cstheme="minorHAnsi"/>
          <w:sz w:val="22"/>
          <w:szCs w:val="22"/>
        </w:rPr>
        <w:t xml:space="preserve">Michael </w:t>
      </w:r>
      <w:r w:rsidR="009323C3">
        <w:rPr>
          <w:rFonts w:asciiTheme="minorHAnsi" w:hAnsiTheme="minorHAnsi" w:cstheme="minorHAnsi"/>
          <w:sz w:val="22"/>
          <w:szCs w:val="22"/>
        </w:rPr>
        <w:t xml:space="preserve">has </w:t>
      </w:r>
      <w:r w:rsidR="00CA3B78" w:rsidRPr="00B56F31">
        <w:rPr>
          <w:rFonts w:asciiTheme="minorHAnsi" w:hAnsiTheme="minorHAnsi" w:cstheme="minorHAnsi"/>
          <w:sz w:val="22"/>
          <w:szCs w:val="22"/>
        </w:rPr>
        <w:t>specialize</w:t>
      </w:r>
      <w:r w:rsidR="009323C3">
        <w:rPr>
          <w:rFonts w:asciiTheme="minorHAnsi" w:hAnsiTheme="minorHAnsi" w:cstheme="minorHAnsi"/>
          <w:sz w:val="22"/>
          <w:szCs w:val="22"/>
        </w:rPr>
        <w:t>d</w:t>
      </w:r>
      <w:r w:rsidR="00CA3B78" w:rsidRPr="00B56F31">
        <w:rPr>
          <w:rFonts w:asciiTheme="minorHAnsi" w:hAnsiTheme="minorHAnsi" w:cstheme="minorHAnsi"/>
          <w:sz w:val="22"/>
          <w:szCs w:val="22"/>
        </w:rPr>
        <w:t xml:space="preserve"> in structural engineering and seismic engineering during his university studies and throughout most of his electric power industry career</w:t>
      </w:r>
      <w:r w:rsidR="009323C3">
        <w:rPr>
          <w:rFonts w:asciiTheme="minorHAnsi" w:hAnsiTheme="minorHAnsi" w:cstheme="minorHAnsi"/>
          <w:sz w:val="22"/>
          <w:szCs w:val="22"/>
        </w:rPr>
        <w:t>, currently managing, facilitating and coordinating</w:t>
      </w:r>
      <w:r w:rsidR="00CA3B78" w:rsidRPr="00B56F31">
        <w:rPr>
          <w:rFonts w:asciiTheme="minorHAnsi" w:hAnsiTheme="minorHAnsi" w:cstheme="minorHAnsi"/>
          <w:sz w:val="22"/>
          <w:szCs w:val="22"/>
        </w:rPr>
        <w:t xml:space="preserve"> the development and maintenance of transmission engineering policies and standards. </w:t>
      </w:r>
      <w:r w:rsidR="009323C3">
        <w:rPr>
          <w:rFonts w:asciiTheme="minorHAnsi" w:hAnsiTheme="minorHAnsi" w:cstheme="minorHAnsi"/>
          <w:sz w:val="22"/>
          <w:szCs w:val="22"/>
        </w:rPr>
        <w:t xml:space="preserve">He </w:t>
      </w:r>
      <w:r w:rsidRPr="00B56F31">
        <w:rPr>
          <w:rFonts w:asciiTheme="minorHAnsi" w:hAnsiTheme="minorHAnsi" w:cstheme="minorHAnsi"/>
          <w:sz w:val="22"/>
          <w:szCs w:val="22"/>
        </w:rPr>
        <w:t>is a member of IEEE and</w:t>
      </w:r>
      <w:r w:rsidR="009323C3">
        <w:rPr>
          <w:rFonts w:asciiTheme="minorHAnsi" w:hAnsiTheme="minorHAnsi" w:cstheme="minorHAnsi"/>
          <w:sz w:val="22"/>
          <w:szCs w:val="22"/>
        </w:rPr>
        <w:t xml:space="preserve"> the</w:t>
      </w:r>
      <w:r w:rsidRPr="00B56F31">
        <w:rPr>
          <w:rFonts w:asciiTheme="minorHAnsi" w:hAnsiTheme="minorHAnsi" w:cstheme="minorHAnsi"/>
          <w:sz w:val="22"/>
          <w:szCs w:val="22"/>
        </w:rPr>
        <w:t xml:space="preserve"> IEEE Standards Association. Michael is </w:t>
      </w:r>
      <w:r w:rsidR="009323C3">
        <w:rPr>
          <w:rFonts w:asciiTheme="minorHAnsi" w:hAnsiTheme="minorHAnsi" w:cstheme="minorHAnsi"/>
          <w:sz w:val="22"/>
          <w:szCs w:val="22"/>
        </w:rPr>
        <w:t>c</w:t>
      </w:r>
      <w:r w:rsidRPr="00B56F31">
        <w:rPr>
          <w:rFonts w:asciiTheme="minorHAnsi" w:hAnsiTheme="minorHAnsi" w:cstheme="minorHAnsi"/>
          <w:sz w:val="22"/>
          <w:szCs w:val="22"/>
        </w:rPr>
        <w:t>hair of IEEE 693</w:t>
      </w:r>
      <w:r w:rsidR="00CA3B78">
        <w:rPr>
          <w:rFonts w:asciiTheme="minorHAnsi" w:hAnsiTheme="minorHAnsi" w:cstheme="minorHAnsi"/>
          <w:sz w:val="22"/>
          <w:szCs w:val="22"/>
        </w:rPr>
        <w:t>, Seismic Design of Substations;</w:t>
      </w:r>
      <w:r w:rsidRPr="00B56F31">
        <w:rPr>
          <w:rFonts w:asciiTheme="minorHAnsi" w:hAnsiTheme="minorHAnsi" w:cstheme="minorHAnsi"/>
          <w:sz w:val="22"/>
          <w:szCs w:val="22"/>
        </w:rPr>
        <w:t xml:space="preserve"> </w:t>
      </w:r>
      <w:r w:rsidR="009323C3">
        <w:rPr>
          <w:rFonts w:asciiTheme="minorHAnsi" w:hAnsiTheme="minorHAnsi" w:cstheme="minorHAnsi"/>
          <w:sz w:val="22"/>
          <w:szCs w:val="22"/>
        </w:rPr>
        <w:t>v</w:t>
      </w:r>
      <w:r w:rsidRPr="00B56F31">
        <w:rPr>
          <w:rFonts w:asciiTheme="minorHAnsi" w:hAnsiTheme="minorHAnsi" w:cstheme="minorHAnsi"/>
          <w:sz w:val="22"/>
          <w:szCs w:val="22"/>
        </w:rPr>
        <w:t>ice</w:t>
      </w:r>
      <w:r w:rsidR="00CA3B78">
        <w:rPr>
          <w:rFonts w:asciiTheme="minorHAnsi" w:hAnsiTheme="minorHAnsi" w:cstheme="minorHAnsi"/>
          <w:sz w:val="22"/>
          <w:szCs w:val="22"/>
        </w:rPr>
        <w:t xml:space="preserve"> </w:t>
      </w:r>
      <w:r w:rsidR="009323C3">
        <w:rPr>
          <w:rFonts w:asciiTheme="minorHAnsi" w:hAnsiTheme="minorHAnsi" w:cstheme="minorHAnsi"/>
          <w:sz w:val="22"/>
          <w:szCs w:val="22"/>
        </w:rPr>
        <w:t>c</w:t>
      </w:r>
      <w:r w:rsidRPr="00B56F31">
        <w:rPr>
          <w:rFonts w:asciiTheme="minorHAnsi" w:hAnsiTheme="minorHAnsi" w:cstheme="minorHAnsi"/>
          <w:sz w:val="22"/>
          <w:szCs w:val="22"/>
        </w:rPr>
        <w:t>hair of IEEE 1527, Seismic Design of Flexible Buswork</w:t>
      </w:r>
      <w:r w:rsidR="00CA3B78">
        <w:rPr>
          <w:rFonts w:asciiTheme="minorHAnsi" w:hAnsiTheme="minorHAnsi" w:cstheme="minorHAnsi"/>
          <w:sz w:val="22"/>
          <w:szCs w:val="22"/>
        </w:rPr>
        <w:t xml:space="preserve">; </w:t>
      </w:r>
      <w:r w:rsidRPr="00B56F31">
        <w:rPr>
          <w:rFonts w:asciiTheme="minorHAnsi" w:hAnsiTheme="minorHAnsi" w:cstheme="minorHAnsi"/>
          <w:sz w:val="22"/>
          <w:szCs w:val="22"/>
        </w:rPr>
        <w:t>a member of IEEE 605, AIS Bus Design</w:t>
      </w:r>
      <w:r w:rsidR="009323C3">
        <w:rPr>
          <w:rFonts w:asciiTheme="minorHAnsi" w:hAnsiTheme="minorHAnsi" w:cstheme="minorHAnsi"/>
          <w:sz w:val="22"/>
          <w:szCs w:val="22"/>
        </w:rPr>
        <w:t xml:space="preserve"> and</w:t>
      </w:r>
      <w:r w:rsidRPr="00B56F31">
        <w:rPr>
          <w:rFonts w:asciiTheme="minorHAnsi" w:hAnsiTheme="minorHAnsi" w:cstheme="minorHAnsi"/>
          <w:sz w:val="22"/>
          <w:szCs w:val="22"/>
        </w:rPr>
        <w:t xml:space="preserve"> ASCE 113, De</w:t>
      </w:r>
      <w:r w:rsidR="00CA3B78">
        <w:rPr>
          <w:rFonts w:asciiTheme="minorHAnsi" w:hAnsiTheme="minorHAnsi" w:cstheme="minorHAnsi"/>
          <w:sz w:val="22"/>
          <w:szCs w:val="22"/>
        </w:rPr>
        <w:t xml:space="preserve">sign of Substation Structures as well as </w:t>
      </w:r>
      <w:r w:rsidRPr="00B56F31">
        <w:rPr>
          <w:rFonts w:asciiTheme="minorHAnsi" w:hAnsiTheme="minorHAnsi" w:cstheme="minorHAnsi"/>
          <w:sz w:val="22"/>
          <w:szCs w:val="22"/>
        </w:rPr>
        <w:t xml:space="preserve">a member of Electric Power Research Institute (EPRI) Substation Seismic Studies Group. </w:t>
      </w:r>
      <w:r w:rsidR="009323C3">
        <w:rPr>
          <w:rFonts w:asciiTheme="minorHAnsi" w:hAnsiTheme="minorHAnsi" w:cstheme="minorHAnsi"/>
          <w:sz w:val="22"/>
          <w:szCs w:val="22"/>
        </w:rPr>
        <w:t xml:space="preserve">Michael received his Bachelor of </w:t>
      </w:r>
      <w:r w:rsidRPr="00B56F31">
        <w:rPr>
          <w:rFonts w:asciiTheme="minorHAnsi" w:hAnsiTheme="minorHAnsi" w:cstheme="minorHAnsi"/>
          <w:sz w:val="22"/>
          <w:szCs w:val="22"/>
        </w:rPr>
        <w:t>S</w:t>
      </w:r>
      <w:r w:rsidR="009323C3">
        <w:rPr>
          <w:rFonts w:asciiTheme="minorHAnsi" w:hAnsiTheme="minorHAnsi" w:cstheme="minorHAnsi"/>
          <w:sz w:val="22"/>
          <w:szCs w:val="22"/>
        </w:rPr>
        <w:t xml:space="preserve">cience Degree in Civil Engineering and his Master of </w:t>
      </w:r>
      <w:r w:rsidRPr="00B56F31">
        <w:rPr>
          <w:rFonts w:asciiTheme="minorHAnsi" w:hAnsiTheme="minorHAnsi" w:cstheme="minorHAnsi"/>
          <w:sz w:val="22"/>
          <w:szCs w:val="22"/>
        </w:rPr>
        <w:t>S</w:t>
      </w:r>
      <w:r w:rsidR="009323C3">
        <w:rPr>
          <w:rFonts w:asciiTheme="minorHAnsi" w:hAnsiTheme="minorHAnsi" w:cstheme="minorHAnsi"/>
          <w:sz w:val="22"/>
          <w:szCs w:val="22"/>
        </w:rPr>
        <w:t>cience Degree</w:t>
      </w:r>
      <w:r w:rsidRPr="00B56F31">
        <w:rPr>
          <w:rFonts w:asciiTheme="minorHAnsi" w:hAnsiTheme="minorHAnsi" w:cstheme="minorHAnsi"/>
          <w:sz w:val="22"/>
          <w:szCs w:val="22"/>
        </w:rPr>
        <w:t xml:space="preserve"> in Civil and Environmental Engineering from Portland State University in Portland, Oregon. </w:t>
      </w:r>
      <w:r w:rsidR="009323C3">
        <w:rPr>
          <w:rFonts w:asciiTheme="minorHAnsi" w:hAnsiTheme="minorHAnsi" w:cstheme="minorHAnsi"/>
          <w:sz w:val="22"/>
          <w:szCs w:val="22"/>
        </w:rPr>
        <w:t>He</w:t>
      </w:r>
      <w:r w:rsidRPr="00B56F31">
        <w:rPr>
          <w:rFonts w:asciiTheme="minorHAnsi" w:hAnsiTheme="minorHAnsi" w:cstheme="minorHAnsi"/>
          <w:sz w:val="22"/>
          <w:szCs w:val="22"/>
        </w:rPr>
        <w:t xml:space="preserve"> is a professional engineer in the state of Washington.</w:t>
      </w:r>
    </w:p>
    <w:sectPr w:rsidR="00815A4A" w:rsidRPr="00FF219A" w:rsidSect="001554C9">
      <w:footerReference w:type="even" r:id="rId10"/>
      <w:footerReference w:type="default" r:id="rId11"/>
      <w:pgSz w:w="12240" w:h="15840" w:code="1"/>
      <w:pgMar w:top="1152" w:right="720" w:bottom="1170" w:left="1440"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EF" w:rsidRDefault="008D4BEF">
      <w:r>
        <w:separator/>
      </w:r>
    </w:p>
  </w:endnote>
  <w:endnote w:type="continuationSeparator" w:id="0">
    <w:p w:rsidR="008D4BEF" w:rsidRDefault="008D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82F" w:rsidRDefault="00DA082F" w:rsidP="009B74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082F" w:rsidRDefault="00DA082F" w:rsidP="008B33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BC8" w:rsidRPr="00984933" w:rsidRDefault="00F723CD" w:rsidP="00455BC8">
    <w:pPr>
      <w:pStyle w:val="Footer"/>
      <w:jc w:val="center"/>
      <w:rPr>
        <w:rFonts w:ascii="Arial" w:hAnsi="Arial" w:cs="Arial"/>
        <w:sz w:val="18"/>
        <w:szCs w:val="18"/>
      </w:rPr>
    </w:pPr>
    <w:r>
      <w:rPr>
        <w:rFonts w:ascii="Arial" w:hAnsi="Arial" w:cs="Arial"/>
        <w:sz w:val="18"/>
        <w:szCs w:val="18"/>
      </w:rPr>
      <w:t>P</w:t>
    </w:r>
    <w:r w:rsidR="00DA082F" w:rsidRPr="00984933">
      <w:rPr>
        <w:rFonts w:ascii="Arial" w:hAnsi="Arial" w:cs="Arial"/>
        <w:sz w:val="18"/>
        <w:szCs w:val="18"/>
      </w:rPr>
      <w:t xml:space="preserve">age </w:t>
    </w:r>
    <w:r w:rsidR="00DA082F" w:rsidRPr="00984933">
      <w:rPr>
        <w:rFonts w:ascii="Arial" w:hAnsi="Arial" w:cs="Arial"/>
        <w:sz w:val="18"/>
        <w:szCs w:val="18"/>
      </w:rPr>
      <w:fldChar w:fldCharType="begin"/>
    </w:r>
    <w:r w:rsidR="00DA082F" w:rsidRPr="00984933">
      <w:rPr>
        <w:rFonts w:ascii="Arial" w:hAnsi="Arial" w:cs="Arial"/>
        <w:sz w:val="18"/>
        <w:szCs w:val="18"/>
      </w:rPr>
      <w:instrText xml:space="preserve"> PAGE </w:instrText>
    </w:r>
    <w:r w:rsidR="00DA082F" w:rsidRPr="00984933">
      <w:rPr>
        <w:rFonts w:ascii="Arial" w:hAnsi="Arial" w:cs="Arial"/>
        <w:sz w:val="18"/>
        <w:szCs w:val="18"/>
      </w:rPr>
      <w:fldChar w:fldCharType="separate"/>
    </w:r>
    <w:r w:rsidR="008509EC">
      <w:rPr>
        <w:rFonts w:ascii="Arial" w:hAnsi="Arial" w:cs="Arial"/>
        <w:noProof/>
        <w:sz w:val="18"/>
        <w:szCs w:val="18"/>
      </w:rPr>
      <w:t>1</w:t>
    </w:r>
    <w:r w:rsidR="00DA082F" w:rsidRPr="00984933">
      <w:rPr>
        <w:rFonts w:ascii="Arial" w:hAnsi="Arial" w:cs="Arial"/>
        <w:sz w:val="18"/>
        <w:szCs w:val="18"/>
      </w:rPr>
      <w:fldChar w:fldCharType="end"/>
    </w:r>
    <w:r w:rsidR="00DA082F" w:rsidRPr="00984933">
      <w:rPr>
        <w:rFonts w:ascii="Arial" w:hAnsi="Arial" w:cs="Arial"/>
        <w:sz w:val="18"/>
        <w:szCs w:val="18"/>
      </w:rPr>
      <w:t xml:space="preserve"> of </w:t>
    </w:r>
    <w:r w:rsidR="00B56F31">
      <w:rP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EF" w:rsidRDefault="008D4BEF">
      <w:r>
        <w:separator/>
      </w:r>
    </w:p>
  </w:footnote>
  <w:footnote w:type="continuationSeparator" w:id="0">
    <w:p w:rsidR="008D4BEF" w:rsidRDefault="008D4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166B7"/>
    <w:multiLevelType w:val="hybridMultilevel"/>
    <w:tmpl w:val="83B67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930C1C"/>
    <w:multiLevelType w:val="hybridMultilevel"/>
    <w:tmpl w:val="739E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042EB"/>
    <w:multiLevelType w:val="hybridMultilevel"/>
    <w:tmpl w:val="EA60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33AB1"/>
    <w:multiLevelType w:val="hybridMultilevel"/>
    <w:tmpl w:val="264A4CEE"/>
    <w:lvl w:ilvl="0" w:tplc="FD02BA7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45D30"/>
    <w:multiLevelType w:val="hybridMultilevel"/>
    <w:tmpl w:val="87544A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3B5B7A"/>
    <w:multiLevelType w:val="hybridMultilevel"/>
    <w:tmpl w:val="32185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7D2091"/>
    <w:multiLevelType w:val="hybridMultilevel"/>
    <w:tmpl w:val="E6BEBEFA"/>
    <w:lvl w:ilvl="0" w:tplc="E17498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E41C2"/>
    <w:multiLevelType w:val="hybridMultilevel"/>
    <w:tmpl w:val="BEAC5F7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4877A1"/>
    <w:multiLevelType w:val="hybridMultilevel"/>
    <w:tmpl w:val="3F4222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251AA"/>
    <w:multiLevelType w:val="hybridMultilevel"/>
    <w:tmpl w:val="E970F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B54D5"/>
    <w:multiLevelType w:val="hybridMultilevel"/>
    <w:tmpl w:val="C6A8C67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4436271"/>
    <w:multiLevelType w:val="hybridMultilevel"/>
    <w:tmpl w:val="B9EE6D3C"/>
    <w:lvl w:ilvl="0" w:tplc="EAD81966">
      <w:start w:val="1"/>
      <w:numFmt w:val="bullet"/>
      <w:lvlText w:val="–"/>
      <w:lvlJc w:val="left"/>
      <w:pPr>
        <w:ind w:left="72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99755D"/>
    <w:multiLevelType w:val="hybridMultilevel"/>
    <w:tmpl w:val="841829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77265"/>
    <w:multiLevelType w:val="hybridMultilevel"/>
    <w:tmpl w:val="29502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44A48"/>
    <w:multiLevelType w:val="hybridMultilevel"/>
    <w:tmpl w:val="CB9A4E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BC774E"/>
    <w:multiLevelType w:val="hybridMultilevel"/>
    <w:tmpl w:val="9D1CC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F108A2"/>
    <w:multiLevelType w:val="hybridMultilevel"/>
    <w:tmpl w:val="A00420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F834D92"/>
    <w:multiLevelType w:val="hybridMultilevel"/>
    <w:tmpl w:val="29F2A214"/>
    <w:lvl w:ilvl="0" w:tplc="EAD81966">
      <w:start w:val="1"/>
      <w:numFmt w:val="bullet"/>
      <w:lvlText w:val="–"/>
      <w:lvlJc w:val="left"/>
      <w:pPr>
        <w:ind w:left="72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043A1"/>
    <w:multiLevelType w:val="hybridMultilevel"/>
    <w:tmpl w:val="8D626B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10"/>
  </w:num>
  <w:num w:numId="5">
    <w:abstractNumId w:val="2"/>
  </w:num>
  <w:num w:numId="6">
    <w:abstractNumId w:val="7"/>
  </w:num>
  <w:num w:numId="7">
    <w:abstractNumId w:val="15"/>
  </w:num>
  <w:num w:numId="8">
    <w:abstractNumId w:val="11"/>
  </w:num>
  <w:num w:numId="9">
    <w:abstractNumId w:val="17"/>
  </w:num>
  <w:num w:numId="10">
    <w:abstractNumId w:val="8"/>
  </w:num>
  <w:num w:numId="11">
    <w:abstractNumId w:val="1"/>
  </w:num>
  <w:num w:numId="12">
    <w:abstractNumId w:val="5"/>
  </w:num>
  <w:num w:numId="13">
    <w:abstractNumId w:val="9"/>
  </w:num>
  <w:num w:numId="14">
    <w:abstractNumId w:val="19"/>
  </w:num>
  <w:num w:numId="15">
    <w:abstractNumId w:val="13"/>
  </w:num>
  <w:num w:numId="16">
    <w:abstractNumId w:val="14"/>
  </w:num>
  <w:num w:numId="17">
    <w:abstractNumId w:val="6"/>
  </w:num>
  <w:num w:numId="18">
    <w:abstractNumId w:val="12"/>
  </w:num>
  <w:num w:numId="19">
    <w:abstractNumId w:val="18"/>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5" w:nlCheck="1" w:checkStyle="1"/>
  <w:activeWritingStyle w:appName="MSWord" w:lang="de-DE"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EB"/>
    <w:rsid w:val="0000060C"/>
    <w:rsid w:val="00001867"/>
    <w:rsid w:val="00001A60"/>
    <w:rsid w:val="00011A54"/>
    <w:rsid w:val="00011E63"/>
    <w:rsid w:val="00015882"/>
    <w:rsid w:val="00022EA5"/>
    <w:rsid w:val="0003488A"/>
    <w:rsid w:val="00035BAF"/>
    <w:rsid w:val="000433B8"/>
    <w:rsid w:val="00046727"/>
    <w:rsid w:val="0005042C"/>
    <w:rsid w:val="000514CB"/>
    <w:rsid w:val="00055126"/>
    <w:rsid w:val="00065F16"/>
    <w:rsid w:val="0008078C"/>
    <w:rsid w:val="000807F6"/>
    <w:rsid w:val="0008745D"/>
    <w:rsid w:val="00091C5B"/>
    <w:rsid w:val="000A021F"/>
    <w:rsid w:val="000A1D7D"/>
    <w:rsid w:val="000A490A"/>
    <w:rsid w:val="000A71CF"/>
    <w:rsid w:val="000A7830"/>
    <w:rsid w:val="000B0A3C"/>
    <w:rsid w:val="000B1FE9"/>
    <w:rsid w:val="000B6856"/>
    <w:rsid w:val="000B7543"/>
    <w:rsid w:val="000C07D0"/>
    <w:rsid w:val="000D1F4C"/>
    <w:rsid w:val="000D68E1"/>
    <w:rsid w:val="000D6983"/>
    <w:rsid w:val="000D6C2B"/>
    <w:rsid w:val="000F0DB0"/>
    <w:rsid w:val="000F1090"/>
    <w:rsid w:val="000F11E8"/>
    <w:rsid w:val="000F1D54"/>
    <w:rsid w:val="000F253B"/>
    <w:rsid w:val="0012123D"/>
    <w:rsid w:val="0012490E"/>
    <w:rsid w:val="0013729A"/>
    <w:rsid w:val="0014021D"/>
    <w:rsid w:val="00140654"/>
    <w:rsid w:val="00142B2E"/>
    <w:rsid w:val="00142C70"/>
    <w:rsid w:val="0015541B"/>
    <w:rsid w:val="001554C9"/>
    <w:rsid w:val="00164DA2"/>
    <w:rsid w:val="001745EB"/>
    <w:rsid w:val="00175940"/>
    <w:rsid w:val="00194A72"/>
    <w:rsid w:val="001A1198"/>
    <w:rsid w:val="001A21A6"/>
    <w:rsid w:val="001A4EB7"/>
    <w:rsid w:val="001B1C83"/>
    <w:rsid w:val="001B7722"/>
    <w:rsid w:val="001C0022"/>
    <w:rsid w:val="001C32E6"/>
    <w:rsid w:val="001C4694"/>
    <w:rsid w:val="001C6C78"/>
    <w:rsid w:val="001D1751"/>
    <w:rsid w:val="001D60D6"/>
    <w:rsid w:val="001E0897"/>
    <w:rsid w:val="001E1407"/>
    <w:rsid w:val="001E6A0E"/>
    <w:rsid w:val="001F108B"/>
    <w:rsid w:val="001F35D7"/>
    <w:rsid w:val="00207093"/>
    <w:rsid w:val="00207BCB"/>
    <w:rsid w:val="0021433C"/>
    <w:rsid w:val="00220D97"/>
    <w:rsid w:val="00232E0E"/>
    <w:rsid w:val="002363C0"/>
    <w:rsid w:val="00245C48"/>
    <w:rsid w:val="002527BA"/>
    <w:rsid w:val="0025289C"/>
    <w:rsid w:val="002608A4"/>
    <w:rsid w:val="00271F7D"/>
    <w:rsid w:val="00275714"/>
    <w:rsid w:val="002837A1"/>
    <w:rsid w:val="00293FC8"/>
    <w:rsid w:val="002A2187"/>
    <w:rsid w:val="002D296A"/>
    <w:rsid w:val="002D344E"/>
    <w:rsid w:val="002E4660"/>
    <w:rsid w:val="002F3309"/>
    <w:rsid w:val="00301A26"/>
    <w:rsid w:val="00302AAF"/>
    <w:rsid w:val="00307ADD"/>
    <w:rsid w:val="00321C84"/>
    <w:rsid w:val="0032317F"/>
    <w:rsid w:val="003319FD"/>
    <w:rsid w:val="00332B0F"/>
    <w:rsid w:val="00336AE0"/>
    <w:rsid w:val="003429EF"/>
    <w:rsid w:val="00346B00"/>
    <w:rsid w:val="0035292C"/>
    <w:rsid w:val="0038420C"/>
    <w:rsid w:val="00384FAE"/>
    <w:rsid w:val="00390ABB"/>
    <w:rsid w:val="00391EF1"/>
    <w:rsid w:val="003A1863"/>
    <w:rsid w:val="003A718E"/>
    <w:rsid w:val="003B4DEB"/>
    <w:rsid w:val="003B7092"/>
    <w:rsid w:val="003C0841"/>
    <w:rsid w:val="003E310C"/>
    <w:rsid w:val="003E5554"/>
    <w:rsid w:val="003E58E4"/>
    <w:rsid w:val="003F3E4E"/>
    <w:rsid w:val="00407C0E"/>
    <w:rsid w:val="00413B7A"/>
    <w:rsid w:val="00416353"/>
    <w:rsid w:val="00416D03"/>
    <w:rsid w:val="00426D44"/>
    <w:rsid w:val="00440764"/>
    <w:rsid w:val="00445DB2"/>
    <w:rsid w:val="00446533"/>
    <w:rsid w:val="00451F5B"/>
    <w:rsid w:val="00454692"/>
    <w:rsid w:val="00455BC8"/>
    <w:rsid w:val="00461FB4"/>
    <w:rsid w:val="00464697"/>
    <w:rsid w:val="004679EC"/>
    <w:rsid w:val="0047028E"/>
    <w:rsid w:val="004820C4"/>
    <w:rsid w:val="004821EB"/>
    <w:rsid w:val="00490857"/>
    <w:rsid w:val="004B074C"/>
    <w:rsid w:val="004C1766"/>
    <w:rsid w:val="004C7416"/>
    <w:rsid w:val="004C7C5E"/>
    <w:rsid w:val="004D0662"/>
    <w:rsid w:val="004D2DCF"/>
    <w:rsid w:val="004D3498"/>
    <w:rsid w:val="004E1F34"/>
    <w:rsid w:val="004E23C6"/>
    <w:rsid w:val="004E56D3"/>
    <w:rsid w:val="004E5732"/>
    <w:rsid w:val="004F46B9"/>
    <w:rsid w:val="004F5C42"/>
    <w:rsid w:val="00501371"/>
    <w:rsid w:val="005045EF"/>
    <w:rsid w:val="005137BF"/>
    <w:rsid w:val="0052028A"/>
    <w:rsid w:val="00522CE4"/>
    <w:rsid w:val="00525C2D"/>
    <w:rsid w:val="00530151"/>
    <w:rsid w:val="005306CF"/>
    <w:rsid w:val="00545395"/>
    <w:rsid w:val="0055361C"/>
    <w:rsid w:val="00555491"/>
    <w:rsid w:val="005557C0"/>
    <w:rsid w:val="005562FB"/>
    <w:rsid w:val="00556887"/>
    <w:rsid w:val="00557517"/>
    <w:rsid w:val="0056168F"/>
    <w:rsid w:val="00565CA6"/>
    <w:rsid w:val="005808CA"/>
    <w:rsid w:val="0059098C"/>
    <w:rsid w:val="00591527"/>
    <w:rsid w:val="00594E1B"/>
    <w:rsid w:val="005A0AE3"/>
    <w:rsid w:val="005B0C16"/>
    <w:rsid w:val="005B2872"/>
    <w:rsid w:val="005B3EC3"/>
    <w:rsid w:val="005B7995"/>
    <w:rsid w:val="005C6B3A"/>
    <w:rsid w:val="005C7B84"/>
    <w:rsid w:val="005D3086"/>
    <w:rsid w:val="005E62DE"/>
    <w:rsid w:val="005E636D"/>
    <w:rsid w:val="005F17EF"/>
    <w:rsid w:val="00600200"/>
    <w:rsid w:val="00610B1A"/>
    <w:rsid w:val="006111FA"/>
    <w:rsid w:val="00621483"/>
    <w:rsid w:val="0062576B"/>
    <w:rsid w:val="00634378"/>
    <w:rsid w:val="0064464B"/>
    <w:rsid w:val="0065040C"/>
    <w:rsid w:val="006533F8"/>
    <w:rsid w:val="00653709"/>
    <w:rsid w:val="00661E4F"/>
    <w:rsid w:val="006635BC"/>
    <w:rsid w:val="00664C6A"/>
    <w:rsid w:val="00670899"/>
    <w:rsid w:val="00670AE3"/>
    <w:rsid w:val="006A3093"/>
    <w:rsid w:val="006A3661"/>
    <w:rsid w:val="006D626D"/>
    <w:rsid w:val="006E15E3"/>
    <w:rsid w:val="006E6CD5"/>
    <w:rsid w:val="006F3616"/>
    <w:rsid w:val="00711163"/>
    <w:rsid w:val="00711A43"/>
    <w:rsid w:val="00717351"/>
    <w:rsid w:val="00726ADF"/>
    <w:rsid w:val="00741DE2"/>
    <w:rsid w:val="007441B4"/>
    <w:rsid w:val="00746B60"/>
    <w:rsid w:val="00750383"/>
    <w:rsid w:val="0075219D"/>
    <w:rsid w:val="00753F9F"/>
    <w:rsid w:val="00763FB7"/>
    <w:rsid w:val="007849ED"/>
    <w:rsid w:val="00793662"/>
    <w:rsid w:val="007A3F07"/>
    <w:rsid w:val="007A4450"/>
    <w:rsid w:val="007A5CB5"/>
    <w:rsid w:val="007B345C"/>
    <w:rsid w:val="007B5BC8"/>
    <w:rsid w:val="007B683F"/>
    <w:rsid w:val="007C4CC5"/>
    <w:rsid w:val="007D2238"/>
    <w:rsid w:val="00800C34"/>
    <w:rsid w:val="0080561D"/>
    <w:rsid w:val="00815A4A"/>
    <w:rsid w:val="00817721"/>
    <w:rsid w:val="008234DC"/>
    <w:rsid w:val="00830A9E"/>
    <w:rsid w:val="00830CB6"/>
    <w:rsid w:val="00834990"/>
    <w:rsid w:val="00835092"/>
    <w:rsid w:val="00844F07"/>
    <w:rsid w:val="0085091D"/>
    <w:rsid w:val="008509EC"/>
    <w:rsid w:val="008514D1"/>
    <w:rsid w:val="00855552"/>
    <w:rsid w:val="008568BF"/>
    <w:rsid w:val="008642B5"/>
    <w:rsid w:val="00872204"/>
    <w:rsid w:val="008908B5"/>
    <w:rsid w:val="0089191C"/>
    <w:rsid w:val="00891CA0"/>
    <w:rsid w:val="00893E7E"/>
    <w:rsid w:val="0089470D"/>
    <w:rsid w:val="00894BA5"/>
    <w:rsid w:val="008953A8"/>
    <w:rsid w:val="008B1DEF"/>
    <w:rsid w:val="008B2194"/>
    <w:rsid w:val="008B31BB"/>
    <w:rsid w:val="008B33AC"/>
    <w:rsid w:val="008B5A7E"/>
    <w:rsid w:val="008B6BD3"/>
    <w:rsid w:val="008C1666"/>
    <w:rsid w:val="008C473F"/>
    <w:rsid w:val="008D4BEF"/>
    <w:rsid w:val="008E01AB"/>
    <w:rsid w:val="008F4DB4"/>
    <w:rsid w:val="00902ED4"/>
    <w:rsid w:val="00911DF4"/>
    <w:rsid w:val="00912E33"/>
    <w:rsid w:val="009143D9"/>
    <w:rsid w:val="00915D2B"/>
    <w:rsid w:val="00924818"/>
    <w:rsid w:val="009261EE"/>
    <w:rsid w:val="00926FE5"/>
    <w:rsid w:val="00927C5D"/>
    <w:rsid w:val="00931C7F"/>
    <w:rsid w:val="009323C3"/>
    <w:rsid w:val="009364F4"/>
    <w:rsid w:val="0094397E"/>
    <w:rsid w:val="009505E2"/>
    <w:rsid w:val="0095467D"/>
    <w:rsid w:val="00954783"/>
    <w:rsid w:val="00962E37"/>
    <w:rsid w:val="009762F4"/>
    <w:rsid w:val="009817B4"/>
    <w:rsid w:val="00982AE1"/>
    <w:rsid w:val="00984933"/>
    <w:rsid w:val="00986332"/>
    <w:rsid w:val="00990208"/>
    <w:rsid w:val="00993E93"/>
    <w:rsid w:val="009950F3"/>
    <w:rsid w:val="00997ECF"/>
    <w:rsid w:val="009A01D2"/>
    <w:rsid w:val="009A5A78"/>
    <w:rsid w:val="009A72F5"/>
    <w:rsid w:val="009A77BA"/>
    <w:rsid w:val="009B1EAA"/>
    <w:rsid w:val="009B5A44"/>
    <w:rsid w:val="009B74F3"/>
    <w:rsid w:val="009C0C0E"/>
    <w:rsid w:val="009C4419"/>
    <w:rsid w:val="009C4AAF"/>
    <w:rsid w:val="009D5266"/>
    <w:rsid w:val="009D534D"/>
    <w:rsid w:val="009E2897"/>
    <w:rsid w:val="009F2E80"/>
    <w:rsid w:val="009F73F1"/>
    <w:rsid w:val="00A15660"/>
    <w:rsid w:val="00A2195B"/>
    <w:rsid w:val="00A21A72"/>
    <w:rsid w:val="00A23442"/>
    <w:rsid w:val="00A25C37"/>
    <w:rsid w:val="00A30D16"/>
    <w:rsid w:val="00A370BB"/>
    <w:rsid w:val="00A52529"/>
    <w:rsid w:val="00A53997"/>
    <w:rsid w:val="00A65023"/>
    <w:rsid w:val="00A75EBF"/>
    <w:rsid w:val="00A7780B"/>
    <w:rsid w:val="00A77847"/>
    <w:rsid w:val="00A81E5A"/>
    <w:rsid w:val="00A82BCF"/>
    <w:rsid w:val="00A855B2"/>
    <w:rsid w:val="00A902D4"/>
    <w:rsid w:val="00A93D58"/>
    <w:rsid w:val="00AA19FA"/>
    <w:rsid w:val="00AA3130"/>
    <w:rsid w:val="00AB06B2"/>
    <w:rsid w:val="00AB59ED"/>
    <w:rsid w:val="00AC1F5F"/>
    <w:rsid w:val="00AD2AFF"/>
    <w:rsid w:val="00AD3B11"/>
    <w:rsid w:val="00AE6F9C"/>
    <w:rsid w:val="00AF1DDD"/>
    <w:rsid w:val="00AF400F"/>
    <w:rsid w:val="00B00BE9"/>
    <w:rsid w:val="00B27C53"/>
    <w:rsid w:val="00B547EE"/>
    <w:rsid w:val="00B56F31"/>
    <w:rsid w:val="00B60976"/>
    <w:rsid w:val="00B618E8"/>
    <w:rsid w:val="00B63273"/>
    <w:rsid w:val="00B8617C"/>
    <w:rsid w:val="00B92165"/>
    <w:rsid w:val="00B971AE"/>
    <w:rsid w:val="00BB004C"/>
    <w:rsid w:val="00BB0CF5"/>
    <w:rsid w:val="00BB1966"/>
    <w:rsid w:val="00BB453E"/>
    <w:rsid w:val="00BB73A8"/>
    <w:rsid w:val="00BB7D6B"/>
    <w:rsid w:val="00BE7CCF"/>
    <w:rsid w:val="00BF1790"/>
    <w:rsid w:val="00BF551B"/>
    <w:rsid w:val="00C01776"/>
    <w:rsid w:val="00C054BD"/>
    <w:rsid w:val="00C225FE"/>
    <w:rsid w:val="00C301DC"/>
    <w:rsid w:val="00C33721"/>
    <w:rsid w:val="00C3691D"/>
    <w:rsid w:val="00C4112F"/>
    <w:rsid w:val="00C444C5"/>
    <w:rsid w:val="00C540C4"/>
    <w:rsid w:val="00C5660A"/>
    <w:rsid w:val="00C62BA5"/>
    <w:rsid w:val="00C650FD"/>
    <w:rsid w:val="00C72814"/>
    <w:rsid w:val="00C8053F"/>
    <w:rsid w:val="00C805A5"/>
    <w:rsid w:val="00C80618"/>
    <w:rsid w:val="00C83CC5"/>
    <w:rsid w:val="00C877CE"/>
    <w:rsid w:val="00CA25EA"/>
    <w:rsid w:val="00CA3B78"/>
    <w:rsid w:val="00CB052F"/>
    <w:rsid w:val="00CB1221"/>
    <w:rsid w:val="00CC13F5"/>
    <w:rsid w:val="00CC499C"/>
    <w:rsid w:val="00CD17DA"/>
    <w:rsid w:val="00CE0F56"/>
    <w:rsid w:val="00CE3479"/>
    <w:rsid w:val="00CE3B0C"/>
    <w:rsid w:val="00CE44A5"/>
    <w:rsid w:val="00CF560A"/>
    <w:rsid w:val="00D016FB"/>
    <w:rsid w:val="00D01871"/>
    <w:rsid w:val="00D04AE9"/>
    <w:rsid w:val="00D07E00"/>
    <w:rsid w:val="00D1349E"/>
    <w:rsid w:val="00D22C6F"/>
    <w:rsid w:val="00D2444F"/>
    <w:rsid w:val="00D411DB"/>
    <w:rsid w:val="00D414A8"/>
    <w:rsid w:val="00D4200F"/>
    <w:rsid w:val="00D434CC"/>
    <w:rsid w:val="00D44063"/>
    <w:rsid w:val="00D4721A"/>
    <w:rsid w:val="00D52E5E"/>
    <w:rsid w:val="00D601AB"/>
    <w:rsid w:val="00D6444C"/>
    <w:rsid w:val="00D82314"/>
    <w:rsid w:val="00D836B7"/>
    <w:rsid w:val="00D8603F"/>
    <w:rsid w:val="00D934B8"/>
    <w:rsid w:val="00D95471"/>
    <w:rsid w:val="00DA082F"/>
    <w:rsid w:val="00DA1215"/>
    <w:rsid w:val="00DA3784"/>
    <w:rsid w:val="00DB1A35"/>
    <w:rsid w:val="00DC2E81"/>
    <w:rsid w:val="00DC790C"/>
    <w:rsid w:val="00DD5E41"/>
    <w:rsid w:val="00DD704B"/>
    <w:rsid w:val="00DD76D9"/>
    <w:rsid w:val="00DF22D5"/>
    <w:rsid w:val="00DF351C"/>
    <w:rsid w:val="00E03298"/>
    <w:rsid w:val="00E06BF9"/>
    <w:rsid w:val="00E1303D"/>
    <w:rsid w:val="00E20802"/>
    <w:rsid w:val="00E240B9"/>
    <w:rsid w:val="00E27EB2"/>
    <w:rsid w:val="00E352D9"/>
    <w:rsid w:val="00E42539"/>
    <w:rsid w:val="00E50DE7"/>
    <w:rsid w:val="00E62F51"/>
    <w:rsid w:val="00E73EAC"/>
    <w:rsid w:val="00E848D1"/>
    <w:rsid w:val="00E8690F"/>
    <w:rsid w:val="00E944D5"/>
    <w:rsid w:val="00EA0925"/>
    <w:rsid w:val="00EA0C92"/>
    <w:rsid w:val="00EB7157"/>
    <w:rsid w:val="00EC1B05"/>
    <w:rsid w:val="00EC4C6D"/>
    <w:rsid w:val="00EC6E76"/>
    <w:rsid w:val="00ED6CFD"/>
    <w:rsid w:val="00EF1BD0"/>
    <w:rsid w:val="00EF2300"/>
    <w:rsid w:val="00EF5808"/>
    <w:rsid w:val="00F06101"/>
    <w:rsid w:val="00F10B37"/>
    <w:rsid w:val="00F310A5"/>
    <w:rsid w:val="00F37EAA"/>
    <w:rsid w:val="00F4037B"/>
    <w:rsid w:val="00F4359E"/>
    <w:rsid w:val="00F501CA"/>
    <w:rsid w:val="00F50403"/>
    <w:rsid w:val="00F53737"/>
    <w:rsid w:val="00F70A41"/>
    <w:rsid w:val="00F723CD"/>
    <w:rsid w:val="00F836B9"/>
    <w:rsid w:val="00F855E7"/>
    <w:rsid w:val="00F8630A"/>
    <w:rsid w:val="00F951DD"/>
    <w:rsid w:val="00FA232E"/>
    <w:rsid w:val="00FB0FF3"/>
    <w:rsid w:val="00FB568B"/>
    <w:rsid w:val="00FD56FF"/>
    <w:rsid w:val="00FD7E90"/>
    <w:rsid w:val="00FE3C25"/>
    <w:rsid w:val="00FF219A"/>
    <w:rsid w:val="00FF4D6A"/>
    <w:rsid w:val="00FF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91F163F"/>
  <w15:docId w15:val="{EF8BB00B-08B6-47D9-A4F5-8BABEE38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jc w:val="center"/>
      <w:outlineLvl w:val="4"/>
    </w:pPr>
    <w:rPr>
      <w:rFonts w:ascii="Arial" w:hAnsi="Arial" w:cs="Arial"/>
      <w:b/>
      <w:bCs/>
      <w:color w:val="000000"/>
      <w:sz w:val="28"/>
    </w:rPr>
  </w:style>
  <w:style w:type="paragraph" w:styleId="Heading6">
    <w:name w:val="heading 6"/>
    <w:basedOn w:val="Normal"/>
    <w:next w:val="Normal"/>
    <w:qFormat/>
    <w:pPr>
      <w:keepNext/>
      <w:jc w:val="center"/>
      <w:outlineLvl w:val="5"/>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link w:val="TitleChar"/>
    <w:qFormat/>
    <w:pPr>
      <w:jc w:val="center"/>
    </w:pPr>
    <w:rPr>
      <w:b/>
      <w:sz w:val="24"/>
    </w:rPr>
  </w:style>
  <w:style w:type="paragraph" w:styleId="Subtitle">
    <w:name w:val="Subtitle"/>
    <w:basedOn w:val="Normal"/>
    <w:qFormat/>
    <w:pPr>
      <w:jc w:val="center"/>
    </w:pPr>
    <w:rPr>
      <w:sz w:val="24"/>
    </w:rPr>
  </w:style>
  <w:style w:type="paragraph" w:styleId="BodyText2">
    <w:name w:val="Body Text 2"/>
    <w:basedOn w:val="Normal"/>
    <w:rPr>
      <w:sz w:val="22"/>
    </w:rPr>
  </w:style>
  <w:style w:type="paragraph" w:customStyle="1" w:styleId="p1">
    <w:name w:val="p1"/>
    <w:basedOn w:val="Normal"/>
    <w:pPr>
      <w:widowControl w:val="0"/>
      <w:tabs>
        <w:tab w:val="left" w:pos="720"/>
      </w:tabs>
      <w:spacing w:line="240" w:lineRule="atLeast"/>
    </w:pPr>
    <w:rPr>
      <w:snapToGrid w:val="0"/>
      <w:sz w:val="24"/>
    </w:rPr>
  </w:style>
  <w:style w:type="paragraph" w:styleId="BodyText3">
    <w:name w:val="Body Text 3"/>
    <w:basedOn w:val="Normal"/>
    <w:rPr>
      <w:color w:val="000000"/>
    </w:rPr>
  </w:style>
  <w:style w:type="paragraph" w:customStyle="1" w:styleId="paragraph">
    <w:name w:val="paragraph"/>
    <w:basedOn w:val="Normal"/>
    <w:pPr>
      <w:spacing w:before="240"/>
      <w:jc w:val="both"/>
    </w:pPr>
    <w:rPr>
      <w:rFonts w:ascii="Times" w:hAnsi="Time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091C5B"/>
    <w:rPr>
      <w:sz w:val="16"/>
      <w:szCs w:val="16"/>
    </w:rPr>
  </w:style>
  <w:style w:type="paragraph" w:styleId="CommentText">
    <w:name w:val="annotation text"/>
    <w:basedOn w:val="Normal"/>
    <w:semiHidden/>
    <w:rsid w:val="00091C5B"/>
  </w:style>
  <w:style w:type="paragraph" w:styleId="CommentSubject">
    <w:name w:val="annotation subject"/>
    <w:basedOn w:val="CommentText"/>
    <w:next w:val="CommentText"/>
    <w:semiHidden/>
    <w:rsid w:val="00091C5B"/>
    <w:rPr>
      <w:b/>
      <w:bCs/>
    </w:rPr>
  </w:style>
  <w:style w:type="paragraph" w:customStyle="1" w:styleId="Default">
    <w:name w:val="Default"/>
    <w:rsid w:val="00AE6F9C"/>
    <w:pPr>
      <w:autoSpaceDE w:val="0"/>
      <w:autoSpaceDN w:val="0"/>
      <w:adjustRightInd w:val="0"/>
    </w:pPr>
    <w:rPr>
      <w:color w:val="000000"/>
      <w:sz w:val="24"/>
      <w:szCs w:val="24"/>
    </w:rPr>
  </w:style>
  <w:style w:type="paragraph" w:styleId="PlainText">
    <w:name w:val="Plain Text"/>
    <w:basedOn w:val="Normal"/>
    <w:rsid w:val="00993E93"/>
    <w:rPr>
      <w:rFonts w:ascii="Courier New" w:hAnsi="Courier New"/>
    </w:rPr>
  </w:style>
  <w:style w:type="paragraph" w:styleId="Footer">
    <w:name w:val="footer"/>
    <w:basedOn w:val="Normal"/>
    <w:link w:val="FooterChar"/>
    <w:uiPriority w:val="99"/>
    <w:rsid w:val="008B33AC"/>
    <w:pPr>
      <w:tabs>
        <w:tab w:val="center" w:pos="4320"/>
        <w:tab w:val="right" w:pos="8640"/>
      </w:tabs>
    </w:pPr>
  </w:style>
  <w:style w:type="character" w:styleId="PageNumber">
    <w:name w:val="page number"/>
    <w:basedOn w:val="DefaultParagraphFont"/>
    <w:rsid w:val="008B33AC"/>
  </w:style>
  <w:style w:type="paragraph" w:styleId="DocumentMap">
    <w:name w:val="Document Map"/>
    <w:basedOn w:val="Normal"/>
    <w:semiHidden/>
    <w:rsid w:val="000F1D54"/>
    <w:pPr>
      <w:shd w:val="clear" w:color="auto" w:fill="000080"/>
    </w:pPr>
    <w:rPr>
      <w:rFonts w:ascii="Tahoma" w:hAnsi="Tahoma" w:cs="Tahoma"/>
    </w:rPr>
  </w:style>
  <w:style w:type="paragraph" w:styleId="Header">
    <w:name w:val="header"/>
    <w:basedOn w:val="Normal"/>
    <w:link w:val="HeaderChar"/>
    <w:rsid w:val="00E8690F"/>
    <w:pPr>
      <w:tabs>
        <w:tab w:val="center" w:pos="4680"/>
        <w:tab w:val="right" w:pos="9360"/>
      </w:tabs>
    </w:pPr>
  </w:style>
  <w:style w:type="character" w:customStyle="1" w:styleId="HeaderChar">
    <w:name w:val="Header Char"/>
    <w:basedOn w:val="DefaultParagraphFont"/>
    <w:link w:val="Header"/>
    <w:rsid w:val="00E8690F"/>
  </w:style>
  <w:style w:type="paragraph" w:customStyle="1" w:styleId="Biography">
    <w:name w:val="Biography"/>
    <w:basedOn w:val="PlainText"/>
    <w:rsid w:val="00BB0CF5"/>
    <w:pPr>
      <w:spacing w:before="240"/>
      <w:jc w:val="both"/>
    </w:pPr>
    <w:rPr>
      <w:rFonts w:ascii="Times New Roman" w:hAnsi="Times New Roman"/>
      <w:sz w:val="16"/>
    </w:rPr>
  </w:style>
  <w:style w:type="character" w:customStyle="1" w:styleId="FooterChar">
    <w:name w:val="Footer Char"/>
    <w:basedOn w:val="DefaultParagraphFont"/>
    <w:link w:val="Footer"/>
    <w:uiPriority w:val="99"/>
    <w:rsid w:val="00984933"/>
  </w:style>
  <w:style w:type="paragraph" w:styleId="ListParagraph">
    <w:name w:val="List Paragraph"/>
    <w:basedOn w:val="Normal"/>
    <w:qFormat/>
    <w:rsid w:val="00EC1B05"/>
    <w:pPr>
      <w:spacing w:after="200" w:line="276" w:lineRule="auto"/>
      <w:ind w:left="720"/>
      <w:contextualSpacing/>
    </w:pPr>
    <w:rPr>
      <w:rFonts w:asciiTheme="minorHAnsi" w:eastAsiaTheme="minorHAnsi" w:hAnsiTheme="minorHAnsi" w:cstheme="minorBidi"/>
      <w:sz w:val="22"/>
      <w:szCs w:val="22"/>
    </w:rPr>
  </w:style>
  <w:style w:type="character" w:customStyle="1" w:styleId="TitleChar">
    <w:name w:val="Title Char"/>
    <w:basedOn w:val="DefaultParagraphFont"/>
    <w:link w:val="Title"/>
    <w:rsid w:val="0049085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470505">
      <w:bodyDiv w:val="1"/>
      <w:marLeft w:val="0"/>
      <w:marRight w:val="0"/>
      <w:marTop w:val="0"/>
      <w:marBottom w:val="0"/>
      <w:divBdr>
        <w:top w:val="none" w:sz="0" w:space="0" w:color="auto"/>
        <w:left w:val="none" w:sz="0" w:space="0" w:color="auto"/>
        <w:bottom w:val="none" w:sz="0" w:space="0" w:color="auto"/>
        <w:right w:val="none" w:sz="0" w:space="0" w:color="auto"/>
      </w:divBdr>
    </w:div>
    <w:div w:id="917442739">
      <w:bodyDiv w:val="1"/>
      <w:marLeft w:val="0"/>
      <w:marRight w:val="0"/>
      <w:marTop w:val="0"/>
      <w:marBottom w:val="0"/>
      <w:divBdr>
        <w:top w:val="none" w:sz="0" w:space="0" w:color="auto"/>
        <w:left w:val="none" w:sz="0" w:space="0" w:color="auto"/>
        <w:bottom w:val="none" w:sz="0" w:space="0" w:color="auto"/>
        <w:right w:val="none" w:sz="0" w:space="0" w:color="auto"/>
      </w:divBdr>
    </w:div>
    <w:div w:id="941761388">
      <w:bodyDiv w:val="1"/>
      <w:marLeft w:val="0"/>
      <w:marRight w:val="0"/>
      <w:marTop w:val="0"/>
      <w:marBottom w:val="0"/>
      <w:divBdr>
        <w:top w:val="none" w:sz="0" w:space="0" w:color="auto"/>
        <w:left w:val="none" w:sz="0" w:space="0" w:color="auto"/>
        <w:bottom w:val="none" w:sz="0" w:space="0" w:color="auto"/>
        <w:right w:val="none" w:sz="0" w:space="0" w:color="auto"/>
      </w:divBdr>
    </w:div>
    <w:div w:id="964237333">
      <w:bodyDiv w:val="1"/>
      <w:marLeft w:val="0"/>
      <w:marRight w:val="0"/>
      <w:marTop w:val="0"/>
      <w:marBottom w:val="0"/>
      <w:divBdr>
        <w:top w:val="none" w:sz="0" w:space="0" w:color="auto"/>
        <w:left w:val="none" w:sz="0" w:space="0" w:color="auto"/>
        <w:bottom w:val="none" w:sz="0" w:space="0" w:color="auto"/>
        <w:right w:val="none" w:sz="0" w:space="0" w:color="auto"/>
      </w:divBdr>
    </w:div>
    <w:div w:id="1131484774">
      <w:bodyDiv w:val="1"/>
      <w:marLeft w:val="0"/>
      <w:marRight w:val="0"/>
      <w:marTop w:val="0"/>
      <w:marBottom w:val="0"/>
      <w:divBdr>
        <w:top w:val="none" w:sz="0" w:space="0" w:color="auto"/>
        <w:left w:val="none" w:sz="0" w:space="0" w:color="auto"/>
        <w:bottom w:val="none" w:sz="0" w:space="0" w:color="auto"/>
        <w:right w:val="none" w:sz="0" w:space="0" w:color="auto"/>
      </w:divBdr>
    </w:div>
    <w:div w:id="16013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615F-63C7-4ED9-B07B-8760F5D0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2932</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IEEE/PES Transformers Committee</vt:lpstr>
    </vt:vector>
  </TitlesOfParts>
  <Company>IEEE/PES Transformers Committee</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IEEE/PES Transformers Committee</dc:title>
  <dc:creator>Greg Anderson</dc:creator>
  <cp:keywords>presentation</cp:keywords>
  <cp:lastModifiedBy>Behrens, Tammy</cp:lastModifiedBy>
  <cp:revision>3</cp:revision>
  <cp:lastPrinted>2018-09-15T14:05:00Z</cp:lastPrinted>
  <dcterms:created xsi:type="dcterms:W3CDTF">2021-11-05T21:59:00Z</dcterms:created>
  <dcterms:modified xsi:type="dcterms:W3CDTF">2021-11-05T21:59:00Z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