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53" w:rsidRPr="00A0715A" w:rsidRDefault="007C4AD8" w:rsidP="00903067">
      <w:pPr>
        <w:pStyle w:val="Heading1"/>
      </w:pPr>
      <w:bookmarkStart w:id="0" w:name="_GoBack"/>
      <w:bookmarkEnd w:id="0"/>
      <w:r>
        <w:t>Vice</w:t>
      </w:r>
      <w:r w:rsidR="004C6C0F">
        <w:t xml:space="preserve"> </w:t>
      </w:r>
      <w:r w:rsidR="00AA6B53" w:rsidRPr="00A0715A">
        <w:t xml:space="preserve">Chair’s Report – </w:t>
      </w:r>
      <w:r>
        <w:t>Susan McNelly</w:t>
      </w:r>
    </w:p>
    <w:p w:rsidR="00F723F8" w:rsidRPr="00A0715A" w:rsidRDefault="00F723F8" w:rsidP="00BE2388">
      <w:pPr>
        <w:pStyle w:val="Indent1"/>
        <w:spacing w:before="120"/>
      </w:pPr>
      <w:r w:rsidRPr="00A0715A">
        <w:t xml:space="preserve">The </w:t>
      </w:r>
      <w:r w:rsidR="007C4AD8">
        <w:t>Vice-</w:t>
      </w:r>
      <w:r w:rsidRPr="00A0715A">
        <w:t>Chair’s Report was presented at the Monday General Session.</w:t>
      </w:r>
    </w:p>
    <w:p w:rsidR="00D23222" w:rsidRDefault="007C4AD8" w:rsidP="00D23222">
      <w:pPr>
        <w:pStyle w:val="Heading2"/>
        <w:ind w:left="900"/>
      </w:pPr>
      <w:r w:rsidRPr="007C4AD8">
        <w:t>IEEE PES Calendar of Upcoming Events</w:t>
      </w:r>
    </w:p>
    <w:p w:rsidR="007C4AD8" w:rsidRPr="00BE2388" w:rsidRDefault="007C4AD8" w:rsidP="007C4AD8">
      <w:pPr>
        <w:ind w:left="180"/>
        <w:jc w:val="both"/>
        <w:rPr>
          <w:sz w:val="22"/>
          <w:szCs w:val="22"/>
        </w:rPr>
      </w:pPr>
      <w:r w:rsidRPr="00BE2388">
        <w:rPr>
          <w:sz w:val="22"/>
          <w:szCs w:val="22"/>
        </w:rPr>
        <w:t xml:space="preserve">The following are upcoming PES sponsored conferences and committee meetings.  Please check the PES website at </w:t>
      </w:r>
      <w:hyperlink r:id="rId9" w:history="1">
        <w:r w:rsidRPr="00BE2388">
          <w:rPr>
            <w:rStyle w:val="Hyperlink"/>
            <w:sz w:val="22"/>
            <w:szCs w:val="22"/>
          </w:rPr>
          <w:t>www.ieee-pes.org</w:t>
        </w:r>
      </w:hyperlink>
      <w:r w:rsidRPr="00BE2388">
        <w:rPr>
          <w:sz w:val="22"/>
          <w:szCs w:val="22"/>
        </w:rPr>
        <w:t xml:space="preserve"> for further details, and additional events.</w:t>
      </w:r>
    </w:p>
    <w:p w:rsidR="007C4AD8" w:rsidRPr="00BE2388" w:rsidRDefault="007C4AD8" w:rsidP="007C4AD8">
      <w:pPr>
        <w:spacing w:before="240"/>
        <w:ind w:left="720"/>
        <w:rPr>
          <w:sz w:val="22"/>
          <w:szCs w:val="22"/>
        </w:rPr>
      </w:pPr>
      <w:r w:rsidRPr="00BE2388">
        <w:rPr>
          <w:bCs/>
          <w:sz w:val="22"/>
          <w:szCs w:val="22"/>
        </w:rPr>
        <w:t xml:space="preserve">2016 </w:t>
      </w:r>
      <w:r w:rsidRPr="00BE2388">
        <w:rPr>
          <w:sz w:val="22"/>
          <w:szCs w:val="22"/>
        </w:rPr>
        <w:t>IEEE/PES T&amp;D Conference and Expo</w:t>
      </w:r>
    </w:p>
    <w:p w:rsidR="007C4AD8" w:rsidRPr="00BE2388" w:rsidRDefault="007C4AD8" w:rsidP="007C4AD8">
      <w:pPr>
        <w:ind w:left="720"/>
        <w:rPr>
          <w:sz w:val="22"/>
          <w:szCs w:val="22"/>
        </w:rPr>
      </w:pPr>
      <w:r w:rsidRPr="00BE2388">
        <w:rPr>
          <w:sz w:val="22"/>
          <w:szCs w:val="22"/>
        </w:rPr>
        <w:t>May 2-5, 2016, Dallas, TX</w:t>
      </w:r>
    </w:p>
    <w:p w:rsidR="007C4AD8" w:rsidRPr="00BE2388" w:rsidRDefault="007C4AD8" w:rsidP="007C4AD8">
      <w:pPr>
        <w:spacing w:before="240"/>
        <w:ind w:firstLine="720"/>
        <w:rPr>
          <w:bCs/>
          <w:sz w:val="22"/>
          <w:szCs w:val="22"/>
        </w:rPr>
      </w:pPr>
      <w:r w:rsidRPr="00BE2388">
        <w:rPr>
          <w:sz w:val="22"/>
          <w:szCs w:val="22"/>
        </w:rPr>
        <w:t>2016 IEEE/PES General Meeting</w:t>
      </w:r>
    </w:p>
    <w:p w:rsidR="007C4AD8" w:rsidRPr="00BE2388" w:rsidRDefault="007C4AD8" w:rsidP="007C4AD8">
      <w:pPr>
        <w:ind w:firstLine="720"/>
        <w:rPr>
          <w:iCs/>
          <w:sz w:val="22"/>
          <w:szCs w:val="22"/>
        </w:rPr>
      </w:pPr>
      <w:r w:rsidRPr="00BE2388">
        <w:rPr>
          <w:iCs/>
          <w:sz w:val="22"/>
          <w:szCs w:val="22"/>
        </w:rPr>
        <w:t>July 17-21, 2016, Boston, MA</w:t>
      </w:r>
    </w:p>
    <w:p w:rsidR="00E7684A" w:rsidRDefault="007C4AD8" w:rsidP="007C4AD8">
      <w:pPr>
        <w:pStyle w:val="Heading2"/>
        <w:ind w:left="900"/>
        <w:rPr>
          <w:bCs/>
          <w:sz w:val="24"/>
          <w:szCs w:val="24"/>
        </w:rPr>
      </w:pPr>
      <w:r w:rsidRPr="00B81A75">
        <w:rPr>
          <w:bCs/>
          <w:sz w:val="24"/>
          <w:szCs w:val="24"/>
        </w:rPr>
        <w:t>Conference Papers Submitted in 2015</w:t>
      </w:r>
    </w:p>
    <w:p w:rsidR="00441DB2" w:rsidRPr="00BE2388" w:rsidRDefault="00441DB2" w:rsidP="00441DB2">
      <w:pPr>
        <w:pStyle w:val="Indent3"/>
        <w:jc w:val="both"/>
        <w:rPr>
          <w:szCs w:val="22"/>
        </w:rPr>
      </w:pPr>
      <w:r w:rsidRPr="00BE2388">
        <w:rPr>
          <w:szCs w:val="22"/>
        </w:rPr>
        <w:t>A special thank you is extended to all of the Transformer Committee Members and participants who helped with paper reviews. This help is greatly appreciated and is a wonderful representation of our Committee to IEEE and the industry.</w:t>
      </w:r>
      <w:r w:rsidR="007C0F5F" w:rsidRPr="00BE2388">
        <w:rPr>
          <w:szCs w:val="22"/>
        </w:rPr>
        <w:t xml:space="preserve">  </w:t>
      </w:r>
      <w:proofErr w:type="gramStart"/>
      <w:r w:rsidR="007C0F5F" w:rsidRPr="00BE2388">
        <w:rPr>
          <w:szCs w:val="22"/>
        </w:rPr>
        <w:t>Special thanks also goes</w:t>
      </w:r>
      <w:proofErr w:type="gramEnd"/>
      <w:r w:rsidR="007C0F5F" w:rsidRPr="00BE2388">
        <w:rPr>
          <w:szCs w:val="22"/>
        </w:rPr>
        <w:t xml:space="preserve"> to Steve Antosz who was responsible for organizing and processing the papers for both the IEEE/PES T&amp;D Conference and the IEEE/PES General Meeting for this year.</w:t>
      </w:r>
    </w:p>
    <w:p w:rsidR="00E7684A" w:rsidRPr="007F5DD7" w:rsidRDefault="007C4AD8" w:rsidP="00E7684A">
      <w:pPr>
        <w:pStyle w:val="Heading3"/>
        <w:tabs>
          <w:tab w:val="clear" w:pos="1440"/>
          <w:tab w:val="left" w:pos="1080"/>
        </w:tabs>
        <w:ind w:left="1080"/>
      </w:pPr>
      <w:r w:rsidRPr="007C4AD8">
        <w:rPr>
          <w:sz w:val="24"/>
        </w:rPr>
        <w:t>IEEE/PES T&amp;D Conference and Expo</w:t>
      </w:r>
      <w:r w:rsidRPr="00B81A75">
        <w:rPr>
          <w:iCs/>
          <w:sz w:val="24"/>
          <w:szCs w:val="24"/>
        </w:rPr>
        <w:t xml:space="preserve"> </w:t>
      </w:r>
      <w:r w:rsidR="00144CA6">
        <w:rPr>
          <w:iCs/>
          <w:sz w:val="24"/>
          <w:szCs w:val="24"/>
        </w:rPr>
        <w:t>-</w:t>
      </w:r>
      <w:r w:rsidRPr="00B81A75">
        <w:rPr>
          <w:iCs/>
          <w:sz w:val="24"/>
          <w:szCs w:val="24"/>
        </w:rPr>
        <w:t xml:space="preserve"> </w:t>
      </w:r>
      <w:r w:rsidRPr="00B81A75">
        <w:rPr>
          <w:sz w:val="24"/>
        </w:rPr>
        <w:t>May 2-5, 2016, Dallas, TX</w:t>
      </w:r>
    </w:p>
    <w:p w:rsidR="007C4AD8" w:rsidRPr="00BE2388" w:rsidRDefault="007C4AD8" w:rsidP="007C4AD8">
      <w:pPr>
        <w:pStyle w:val="Indent3"/>
        <w:jc w:val="both"/>
        <w:rPr>
          <w:szCs w:val="22"/>
        </w:rPr>
      </w:pPr>
      <w:r w:rsidRPr="00BE2388">
        <w:rPr>
          <w:szCs w:val="22"/>
        </w:rPr>
        <w:t xml:space="preserve">The paper submission website opened July 13, 2015 and closed August 17, 2015.  A total of 16 conference papers were submitted.  After peer review, 3 papers were rejected and 13 papers were accepted.  They will be presented at the Poster Session in May in Dallas.  In addition, 2 Transactions Papers were accepted as conference papers.  </w:t>
      </w:r>
    </w:p>
    <w:p w:rsidR="00E7684A" w:rsidRPr="00BE2388" w:rsidRDefault="007C4AD8" w:rsidP="00144CA6">
      <w:pPr>
        <w:pStyle w:val="Indent3"/>
        <w:keepNext/>
        <w:jc w:val="both"/>
        <w:rPr>
          <w:szCs w:val="22"/>
        </w:rPr>
      </w:pPr>
      <w:r w:rsidRPr="00BE2388">
        <w:rPr>
          <w:szCs w:val="22"/>
        </w:rPr>
        <w:t>The papers</w:t>
      </w:r>
      <w:r w:rsidR="00441DB2" w:rsidRPr="00BE2388">
        <w:rPr>
          <w:szCs w:val="22"/>
        </w:rPr>
        <w:t xml:space="preserve"> that were accepted</w:t>
      </w:r>
      <w:r w:rsidRPr="00BE2388">
        <w:rPr>
          <w:szCs w:val="22"/>
        </w:rPr>
        <w:t xml:space="preserve"> are:</w:t>
      </w:r>
    </w:p>
    <w:tbl>
      <w:tblPr>
        <w:tblW w:w="4796" w:type="pct"/>
        <w:tblCellSpacing w:w="0" w:type="dxa"/>
        <w:tblInd w:w="4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8117"/>
      </w:tblGrid>
      <w:tr w:rsidR="00144CA6" w:rsidRPr="00B81A75" w:rsidTr="00441DB2">
        <w:trPr>
          <w:tblHeader/>
          <w:tblCellSpacing w:w="0" w:type="dxa"/>
        </w:trPr>
        <w:tc>
          <w:tcPr>
            <w:tcW w:w="627" w:type="pct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554E7">
              <w:rPr>
                <w:b/>
                <w:bCs/>
                <w:color w:val="000000"/>
              </w:rPr>
              <w:t>ID</w:t>
            </w:r>
          </w:p>
        </w:tc>
        <w:tc>
          <w:tcPr>
            <w:tcW w:w="4325" w:type="pct"/>
            <w:vAlign w:val="center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ind w:left="119"/>
              <w:rPr>
                <w:b/>
                <w:bCs/>
                <w:color w:val="000000"/>
              </w:rPr>
            </w:pPr>
            <w:r w:rsidRPr="007554E7">
              <w:rPr>
                <w:b/>
                <w:bCs/>
                <w:color w:val="000000"/>
              </w:rPr>
              <w:t>TITLE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TD0011</w:t>
            </w:r>
          </w:p>
        </w:tc>
        <w:tc>
          <w:tcPr>
            <w:tcW w:w="4325" w:type="pct"/>
            <w:vAlign w:val="center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ind w:left="119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Transactions Paper   Thermodynamic Estimation of Transformer Fault Severity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TD0122</w:t>
            </w:r>
          </w:p>
        </w:tc>
        <w:tc>
          <w:tcPr>
            <w:tcW w:w="4325" w:type="pct"/>
            <w:vAlign w:val="center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ind w:left="119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Transactions Paper   Cold Start of a 240 MVA Generator Step-up Transformer Filled with Natural Ester Fluid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TD0033</w:t>
            </w:r>
          </w:p>
        </w:tc>
        <w:tc>
          <w:tcPr>
            <w:tcW w:w="4325" w:type="pct"/>
            <w:vAlign w:val="center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ind w:left="119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A Topology–Based Model for Two-Winding, Shell- Type, Single-Phase Transformer Inter-Turn Faults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TD0143</w:t>
            </w:r>
          </w:p>
        </w:tc>
        <w:tc>
          <w:tcPr>
            <w:tcW w:w="4325" w:type="pct"/>
            <w:vAlign w:val="center"/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ind w:left="119"/>
              <w:rPr>
                <w:bCs/>
                <w:color w:val="000000"/>
              </w:rPr>
            </w:pPr>
            <w:r w:rsidRPr="007554E7">
              <w:rPr>
                <w:bCs/>
                <w:color w:val="000000"/>
              </w:rPr>
              <w:t>Investigation on Frequency Response Analysis Measurement Method for Power Transformer Impedance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TD0155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Mitigation of Adverse Effects of GICs on Transformers Using Look-Up Table Controlled Ground Resistance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TD0158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 xml:space="preserve">Understanding DGA Techniques and Interpretations 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TD0160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Vibration Response Analysis of Transformer Winding by Finite Element Method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TD0234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HiDry72: Short-Circuit Withstand Test upon the biggest ever Dry-type Power Transformer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TD0261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Acoustic tap-changer analyses using continuous wavelet transformation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TD0300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Minimizing Dielectric Frequency Response Measurement Time by using Multiple Frequency Signals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TD0325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Noise Recognition of Transformers Based on Improved MFCC and VQ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TD0359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Transformer Oil DGA Monitoring Technology Study 2015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TD0423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A Comprehensive Diagnostic Evaluation of Power Transformers via Dissolved Gas Analysis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TD0453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Life Time Analysis of Distribution Transformer Using Experimental Design</w:t>
            </w:r>
          </w:p>
        </w:tc>
      </w:tr>
      <w:tr w:rsidR="00144CA6" w:rsidRPr="00B81A75" w:rsidTr="007554E7">
        <w:trPr>
          <w:tblCellSpacing w:w="0" w:type="dxa"/>
        </w:trPr>
        <w:tc>
          <w:tcPr>
            <w:tcW w:w="627" w:type="pct"/>
            <w:hideMark/>
          </w:tcPr>
          <w:p w:rsidR="00144CA6" w:rsidRPr="00144CA6" w:rsidRDefault="00144CA6" w:rsidP="00144CA6">
            <w:pPr>
              <w:jc w:val="center"/>
            </w:pPr>
            <w:r w:rsidRPr="00144CA6">
              <w:t>TD0456</w:t>
            </w:r>
          </w:p>
        </w:tc>
        <w:tc>
          <w:tcPr>
            <w:tcW w:w="4325" w:type="pct"/>
            <w:vAlign w:val="center"/>
          </w:tcPr>
          <w:p w:rsidR="00144CA6" w:rsidRPr="00144CA6" w:rsidRDefault="00144CA6" w:rsidP="007554E7">
            <w:pPr>
              <w:ind w:left="119"/>
              <w:rPr>
                <w:iCs/>
              </w:rPr>
            </w:pPr>
            <w:r w:rsidRPr="00144CA6">
              <w:rPr>
                <w:iCs/>
              </w:rPr>
              <w:t>Impact of Smart Home Management Strategies on Expected Lifetime of Transformer</w:t>
            </w:r>
          </w:p>
        </w:tc>
      </w:tr>
    </w:tbl>
    <w:p w:rsidR="00BE2388" w:rsidRPr="00BE2388" w:rsidRDefault="00BE2388" w:rsidP="00BE2388">
      <w:pPr>
        <w:pStyle w:val="Indent3"/>
        <w:jc w:val="both"/>
        <w:rPr>
          <w:szCs w:val="22"/>
        </w:rPr>
      </w:pPr>
      <w:r w:rsidRPr="00BE2388">
        <w:rPr>
          <w:szCs w:val="22"/>
        </w:rPr>
        <w:t xml:space="preserve">PES has brought forward an initiative for promoting the work of the technical committees under PESs (AKA PES’ “best kept secret”).  Working Groups are encouraged to produce a poster on the activity of their WG starting at the upcoming IEEE/PES T&amp;D Conference and Expo in Dallas. </w:t>
      </w:r>
    </w:p>
    <w:p w:rsidR="00BE2388" w:rsidRPr="00BE2388" w:rsidRDefault="00BE2388" w:rsidP="00BE2388">
      <w:pPr>
        <w:pStyle w:val="Indent3"/>
        <w:keepNext/>
        <w:jc w:val="both"/>
        <w:rPr>
          <w:b/>
          <w:szCs w:val="22"/>
        </w:rPr>
      </w:pPr>
      <w:r w:rsidRPr="00BE2388">
        <w:rPr>
          <w:szCs w:val="22"/>
        </w:rPr>
        <w:lastRenderedPageBreak/>
        <w:t>Interested WG are requested to provide the following information to Maria (</w:t>
      </w:r>
      <w:hyperlink r:id="rId10" w:history="1">
        <w:r w:rsidRPr="00BE2388">
          <w:rPr>
            <w:szCs w:val="22"/>
          </w:rPr>
          <w:t>m.proetto@ieee.org</w:t>
        </w:r>
      </w:hyperlink>
      <w:r w:rsidRPr="00BE2388">
        <w:rPr>
          <w:szCs w:val="22"/>
        </w:rPr>
        <w:t>) and Farnoosh Rahmatian (frahmatian@ieee.org) by April 1st, 2016</w:t>
      </w:r>
      <w:r>
        <w:rPr>
          <w:szCs w:val="22"/>
        </w:rPr>
        <w:t>.  Email subject line sh</w:t>
      </w:r>
      <w:r w:rsidRPr="00BE2388">
        <w:rPr>
          <w:szCs w:val="22"/>
        </w:rPr>
        <w:t>ould read: “</w:t>
      </w:r>
      <w:r w:rsidRPr="00BE2388">
        <w:rPr>
          <w:szCs w:val="22"/>
          <w:lang w:val="en-CA"/>
        </w:rPr>
        <w:t>Poster session for WGs - IEEE PES T&amp;D Conference”.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before="60"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Technical Committee Name: Transformers Committee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 xml:space="preserve">Working Group name 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Project title (if different from WG name)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PAR number (if relevant)</w:t>
      </w:r>
    </w:p>
    <w:p w:rsidR="00BE2388" w:rsidRPr="00BE2388" w:rsidRDefault="00BE2388" w:rsidP="00BE238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Who from the WG will be presenting the poster at the IEEE PES T&amp;D Conference and Expo</w:t>
      </w:r>
    </w:p>
    <w:p w:rsidR="00BE2388" w:rsidRPr="00BE2388" w:rsidRDefault="00BE2388" w:rsidP="00BE2388">
      <w:pPr>
        <w:pStyle w:val="Indent3"/>
        <w:keepNext/>
        <w:spacing w:before="240"/>
        <w:jc w:val="both"/>
        <w:rPr>
          <w:szCs w:val="22"/>
        </w:rPr>
      </w:pPr>
      <w:r w:rsidRPr="00BE2388">
        <w:rPr>
          <w:szCs w:val="22"/>
        </w:rPr>
        <w:t>The following information is suggested to be included on each poster: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before="60" w:after="0" w:line="240" w:lineRule="auto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T</w:t>
      </w:r>
      <w:r w:rsidRPr="00BE2388">
        <w:rPr>
          <w:rFonts w:ascii="Times New Roman" w:hAnsi="Times New Roman"/>
          <w:lang w:val="en-CA"/>
        </w:rPr>
        <w:t>echnical Committee Name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 xml:space="preserve">Working Group name 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 xml:space="preserve">Project title 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PAR number (if relevant)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Project Scope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Target completion date</w:t>
      </w:r>
    </w:p>
    <w:p w:rsidR="00BE2388" w:rsidRPr="00BE2388" w:rsidRDefault="00BE2388" w:rsidP="00BE2388">
      <w:pPr>
        <w:pStyle w:val="ListParagraph"/>
        <w:keepNext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Project status</w:t>
      </w:r>
    </w:p>
    <w:p w:rsidR="00BE2388" w:rsidRPr="00BE2388" w:rsidRDefault="00BE2388" w:rsidP="00BE238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en-CA"/>
        </w:rPr>
      </w:pPr>
      <w:r w:rsidRPr="00BE2388">
        <w:rPr>
          <w:rFonts w:ascii="Times New Roman" w:hAnsi="Times New Roman"/>
          <w:lang w:val="en-CA"/>
        </w:rPr>
        <w:t>Key technical points being addressed in the work</w:t>
      </w:r>
    </w:p>
    <w:p w:rsidR="00144CA6" w:rsidRPr="00144CA6" w:rsidRDefault="00144CA6" w:rsidP="00144CA6">
      <w:pPr>
        <w:pStyle w:val="Heading3"/>
        <w:tabs>
          <w:tab w:val="clear" w:pos="1440"/>
          <w:tab w:val="left" w:pos="1080"/>
        </w:tabs>
        <w:ind w:left="1080"/>
        <w:rPr>
          <w:sz w:val="24"/>
        </w:rPr>
      </w:pPr>
      <w:r w:rsidRPr="00144CA6">
        <w:rPr>
          <w:sz w:val="24"/>
        </w:rPr>
        <w:t xml:space="preserve">IEEE/PES General Meeting </w:t>
      </w:r>
      <w:r>
        <w:rPr>
          <w:sz w:val="24"/>
        </w:rPr>
        <w:t>-</w:t>
      </w:r>
      <w:r w:rsidRPr="00144CA6">
        <w:rPr>
          <w:sz w:val="24"/>
        </w:rPr>
        <w:t xml:space="preserve"> July 17-21, 2016, Boston, MA</w:t>
      </w:r>
    </w:p>
    <w:p w:rsidR="00441DB2" w:rsidRDefault="00144CA6" w:rsidP="007C4AD8">
      <w:pPr>
        <w:pStyle w:val="Indent3"/>
        <w:jc w:val="both"/>
        <w:rPr>
          <w:sz w:val="24"/>
        </w:rPr>
      </w:pPr>
      <w:r w:rsidRPr="00B81A75">
        <w:rPr>
          <w:sz w:val="24"/>
          <w:szCs w:val="24"/>
        </w:rPr>
        <w:t xml:space="preserve">The paper submission website opened October 14, 2015 and closed November 11, 2015. A total of 12 conference papers were submitted.  After peer review, </w:t>
      </w:r>
      <w:r w:rsidRPr="00B81A75">
        <w:rPr>
          <w:color w:val="FF0000"/>
          <w:sz w:val="24"/>
          <w:szCs w:val="24"/>
        </w:rPr>
        <w:t>5</w:t>
      </w:r>
      <w:r w:rsidRPr="00B81A75">
        <w:rPr>
          <w:sz w:val="24"/>
          <w:szCs w:val="24"/>
        </w:rPr>
        <w:t xml:space="preserve"> papers were</w:t>
      </w:r>
      <w:r w:rsidRPr="00B81A75">
        <w:rPr>
          <w:sz w:val="24"/>
        </w:rPr>
        <w:t xml:space="preserve"> rejected and </w:t>
      </w:r>
      <w:r w:rsidRPr="00B81A75">
        <w:rPr>
          <w:color w:val="FF0000"/>
          <w:sz w:val="24"/>
        </w:rPr>
        <w:t>7</w:t>
      </w:r>
      <w:r w:rsidRPr="00B81A75">
        <w:rPr>
          <w:sz w:val="24"/>
        </w:rPr>
        <w:t xml:space="preserve"> papers were accepted.  They will be presented at the Poster Session in July in Boston.  In addition, 4 Transactions Papers were accepted as conference papers.  </w:t>
      </w:r>
    </w:p>
    <w:p w:rsidR="00144CA6" w:rsidRDefault="00144CA6" w:rsidP="00441DB2">
      <w:pPr>
        <w:pStyle w:val="Indent3"/>
        <w:keepNext/>
        <w:jc w:val="both"/>
        <w:rPr>
          <w:sz w:val="24"/>
        </w:rPr>
      </w:pPr>
      <w:r w:rsidRPr="00B81A75">
        <w:rPr>
          <w:sz w:val="24"/>
        </w:rPr>
        <w:t>The papers</w:t>
      </w:r>
      <w:r w:rsidR="00441DB2">
        <w:rPr>
          <w:sz w:val="24"/>
        </w:rPr>
        <w:t xml:space="preserve"> that were accepted</w:t>
      </w:r>
      <w:r w:rsidRPr="00B81A75">
        <w:rPr>
          <w:sz w:val="24"/>
        </w:rPr>
        <w:t xml:space="preserve"> are</w:t>
      </w:r>
      <w:r>
        <w:rPr>
          <w:sz w:val="24"/>
        </w:rPr>
        <w:t>:</w:t>
      </w:r>
    </w:p>
    <w:tbl>
      <w:tblPr>
        <w:tblW w:w="9255" w:type="dxa"/>
        <w:tblInd w:w="468" w:type="dxa"/>
        <w:tblLook w:val="0000" w:firstRow="0" w:lastRow="0" w:firstColumn="0" w:lastColumn="0" w:noHBand="0" w:noVBand="0"/>
      </w:tblPr>
      <w:tblGrid>
        <w:gridCol w:w="1736"/>
        <w:gridCol w:w="7519"/>
      </w:tblGrid>
      <w:tr w:rsidR="00144CA6" w:rsidRPr="00144CA6" w:rsidTr="00441DB2">
        <w:trPr>
          <w:trHeight w:val="305"/>
          <w:tblHeader/>
        </w:trPr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7554E7" w:rsidRDefault="00144CA6" w:rsidP="002911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554E7">
              <w:rPr>
                <w:b/>
                <w:bCs/>
                <w:color w:val="000000"/>
              </w:rPr>
              <w:t>ID</w:t>
            </w:r>
          </w:p>
        </w:tc>
        <w:tc>
          <w:tcPr>
            <w:tcW w:w="40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7554E7" w:rsidRDefault="00144CA6" w:rsidP="007554E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554E7">
              <w:rPr>
                <w:b/>
                <w:bCs/>
                <w:color w:val="000000"/>
              </w:rPr>
              <w:t>Title</w:t>
            </w:r>
          </w:p>
        </w:tc>
      </w:tr>
      <w:tr w:rsidR="00144CA6" w:rsidRPr="00144CA6" w:rsidTr="00441DB2">
        <w:trPr>
          <w:trHeight w:hRule="exact" w:val="52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16PESGM0262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t>TRANSACTIONS: Impact of second generation plug-in battery electric vehicles on the aging of distribution transformers considering TOU prices</w:t>
            </w:r>
          </w:p>
        </w:tc>
      </w:tr>
      <w:tr w:rsidR="00144CA6" w:rsidRPr="00144CA6" w:rsidTr="00441DB2">
        <w:trPr>
          <w:trHeight w:hRule="exact" w:val="34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16PESGM0460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t>TRANSACTIONS: On the Effects of Solar Panels on Distribution Transformers</w:t>
            </w:r>
          </w:p>
        </w:tc>
      </w:tr>
      <w:tr w:rsidR="00144CA6" w:rsidRPr="00144CA6" w:rsidTr="00441DB2">
        <w:trPr>
          <w:trHeight w:hRule="exact" w:val="52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16PESGM0658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t>TRANSACTIONS: Impulse Generator Optimum Setup for Transient Testing of Transformers Using Frequency-Response Analysis and Genetic Algorithm</w:t>
            </w:r>
          </w:p>
        </w:tc>
      </w:tr>
      <w:tr w:rsidR="00144CA6" w:rsidRPr="00144CA6" w:rsidTr="00441DB2">
        <w:trPr>
          <w:trHeight w:hRule="exact" w:val="52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16PESGM0881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t>TRANSACTIONS: Analysis of Switching Effects of Vacuum Circuit Breaker on Dry-Type Foil-Winding Transformers Validated by Experiments</w:t>
            </w:r>
          </w:p>
        </w:tc>
      </w:tr>
      <w:tr w:rsidR="00144CA6" w:rsidRPr="00144CA6" w:rsidTr="00441DB2">
        <w:trPr>
          <w:trHeight w:hRule="exact" w:val="34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16PESGM0142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color w:val="000000"/>
              </w:rPr>
            </w:pPr>
            <w:r w:rsidRPr="00144CA6">
              <w:rPr>
                <w:color w:val="000000"/>
              </w:rPr>
              <w:t>Multi-Source Information Fusion for Power Transformer Condition Assessment</w:t>
            </w:r>
          </w:p>
        </w:tc>
      </w:tr>
      <w:tr w:rsidR="00144CA6" w:rsidRPr="00144CA6" w:rsidTr="00441DB2">
        <w:trPr>
          <w:trHeight w:hRule="exact" w:val="52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16PESGM0215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color w:val="000000"/>
              </w:rPr>
            </w:pPr>
            <w:r w:rsidRPr="00144CA6">
              <w:rPr>
                <w:color w:val="000000"/>
              </w:rPr>
              <w:t>Refining IEC Code and Rogers Four Ratios DGA Methods for Transformer Fault Diagnosis</w:t>
            </w:r>
          </w:p>
        </w:tc>
      </w:tr>
      <w:tr w:rsidR="00144CA6" w:rsidRPr="00144CA6" w:rsidTr="00441DB2">
        <w:trPr>
          <w:trHeight w:hRule="exact" w:val="34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strike/>
                <w:color w:val="FF0000"/>
              </w:rPr>
            </w:pPr>
            <w:r w:rsidRPr="00144CA6">
              <w:rPr>
                <w:strike/>
                <w:color w:val="FF0000"/>
              </w:rPr>
              <w:t>16PESGM0281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strike/>
                <w:color w:val="FF0000"/>
              </w:rPr>
            </w:pPr>
            <w:r w:rsidRPr="00144CA6">
              <w:rPr>
                <w:strike/>
                <w:color w:val="FF0000"/>
              </w:rPr>
              <w:t xml:space="preserve">Anti-interference of </w:t>
            </w:r>
            <w:proofErr w:type="spellStart"/>
            <w:r w:rsidRPr="00144CA6">
              <w:rPr>
                <w:strike/>
                <w:color w:val="FF0000"/>
              </w:rPr>
              <w:t>Rogowski</w:t>
            </w:r>
            <w:proofErr w:type="spellEnd"/>
            <w:r w:rsidRPr="00144CA6">
              <w:rPr>
                <w:strike/>
                <w:color w:val="FF0000"/>
              </w:rPr>
              <w:t xml:space="preserve"> Coil Current Transformers in Smart Substations</w:t>
            </w:r>
          </w:p>
        </w:tc>
      </w:tr>
      <w:tr w:rsidR="00144CA6" w:rsidRPr="00144CA6" w:rsidTr="00441DB2">
        <w:trPr>
          <w:trHeight w:hRule="exact" w:val="52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16PESGM0677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color w:val="000000"/>
              </w:rPr>
            </w:pPr>
            <w:r w:rsidRPr="00144CA6">
              <w:rPr>
                <w:color w:val="000000"/>
              </w:rPr>
              <w:t>Simple and Accurate Time-Domain Method for Internal Fault Location in Layer-type Transformer Windings</w:t>
            </w:r>
          </w:p>
        </w:tc>
      </w:tr>
      <w:tr w:rsidR="00144CA6" w:rsidRPr="00144CA6" w:rsidTr="00441DB2">
        <w:trPr>
          <w:trHeight w:hRule="exact" w:val="52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16PESGM0959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color w:val="000000"/>
              </w:rPr>
            </w:pPr>
            <w:r w:rsidRPr="00144CA6">
              <w:rPr>
                <w:color w:val="000000"/>
              </w:rPr>
              <w:t>Comparison of Operational Characteristics between the Sen Transformer and a Phase Angle Regulator</w:t>
            </w:r>
          </w:p>
        </w:tc>
      </w:tr>
      <w:tr w:rsidR="00144CA6" w:rsidRPr="00144CA6" w:rsidTr="00441DB2">
        <w:trPr>
          <w:trHeight w:hRule="exact" w:val="34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16PESGM0961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color w:val="000000"/>
              </w:rPr>
            </w:pPr>
            <w:r w:rsidRPr="00144CA6">
              <w:rPr>
                <w:color w:val="000000"/>
              </w:rPr>
              <w:t>Unique Capabilities of Sen Transformer: A Power Regulating Transformer</w:t>
            </w:r>
          </w:p>
        </w:tc>
      </w:tr>
      <w:tr w:rsidR="00144CA6" w:rsidRPr="00144CA6" w:rsidTr="00441DB2">
        <w:trPr>
          <w:trHeight w:hRule="exact" w:val="34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16PESGM1567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color w:val="000000"/>
              </w:rPr>
            </w:pPr>
            <w:r w:rsidRPr="00144CA6">
              <w:rPr>
                <w:color w:val="000000"/>
              </w:rPr>
              <w:t>Optimization-Enabled EMT Modeling for Transformer Impulse Test</w:t>
            </w:r>
          </w:p>
        </w:tc>
      </w:tr>
      <w:tr w:rsidR="00144CA6" w:rsidRPr="00144CA6" w:rsidTr="00441DB2">
        <w:trPr>
          <w:trHeight w:hRule="exact" w:val="348"/>
        </w:trPr>
        <w:tc>
          <w:tcPr>
            <w:tcW w:w="9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4CA6" w:rsidRPr="00144CA6" w:rsidRDefault="00144CA6" w:rsidP="00144C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CA6">
              <w:rPr>
                <w:color w:val="000000"/>
              </w:rPr>
              <w:t>16PESGM1579</w:t>
            </w:r>
          </w:p>
        </w:tc>
        <w:tc>
          <w:tcPr>
            <w:tcW w:w="4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4CA6" w:rsidRPr="00144CA6" w:rsidRDefault="00144CA6" w:rsidP="00144CA6">
            <w:pPr>
              <w:rPr>
                <w:color w:val="000000"/>
              </w:rPr>
            </w:pPr>
            <w:r w:rsidRPr="00144CA6">
              <w:rPr>
                <w:color w:val="000000"/>
              </w:rPr>
              <w:t>Oil Flow Surge Test for 110kV Power Transformer During External Short Circuit faults</w:t>
            </w:r>
          </w:p>
        </w:tc>
      </w:tr>
    </w:tbl>
    <w:p w:rsidR="0083453F" w:rsidRPr="004C6C0F" w:rsidRDefault="0083453F" w:rsidP="004C6C0F">
      <w:pPr>
        <w:keepNext/>
        <w:autoSpaceDE w:val="0"/>
        <w:autoSpaceDN w:val="0"/>
        <w:adjustRightInd w:val="0"/>
        <w:spacing w:before="240"/>
        <w:rPr>
          <w:sz w:val="22"/>
          <w:szCs w:val="22"/>
        </w:rPr>
      </w:pPr>
      <w:r w:rsidRPr="004C6C0F">
        <w:rPr>
          <w:sz w:val="22"/>
          <w:szCs w:val="22"/>
        </w:rPr>
        <w:t>Respectfully,</w:t>
      </w:r>
    </w:p>
    <w:p w:rsidR="0083453F" w:rsidRPr="004C6C0F" w:rsidRDefault="0083453F" w:rsidP="004C6C0F">
      <w:pPr>
        <w:keepNext/>
        <w:rPr>
          <w:noProof/>
          <w:sz w:val="22"/>
          <w:szCs w:val="22"/>
        </w:rPr>
      </w:pPr>
      <w:r w:rsidRPr="004C6C0F">
        <w:rPr>
          <w:noProof/>
          <w:sz w:val="22"/>
          <w:szCs w:val="22"/>
        </w:rPr>
        <w:t>Susan McNelly</w:t>
      </w:r>
    </w:p>
    <w:p w:rsidR="0083453F" w:rsidRDefault="0083453F" w:rsidP="00BE2388">
      <w:pPr>
        <w:keepNext/>
        <w:rPr>
          <w:sz w:val="22"/>
          <w:szCs w:val="22"/>
        </w:rPr>
      </w:pPr>
      <w:r w:rsidRPr="004C6C0F">
        <w:rPr>
          <w:sz w:val="22"/>
          <w:szCs w:val="22"/>
        </w:rPr>
        <w:t>Vice Chair</w:t>
      </w:r>
    </w:p>
    <w:p w:rsidR="004C6C0F" w:rsidRPr="004C6C0F" w:rsidRDefault="004C6C0F" w:rsidP="004C6C0F">
      <w:pPr>
        <w:rPr>
          <w:sz w:val="22"/>
          <w:szCs w:val="22"/>
        </w:rPr>
      </w:pPr>
      <w:r w:rsidRPr="00B81A75">
        <w:rPr>
          <w:noProof/>
          <w:szCs w:val="24"/>
        </w:rPr>
        <w:t xml:space="preserve">March </w:t>
      </w:r>
      <w:r w:rsidR="00D44067">
        <w:rPr>
          <w:noProof/>
          <w:szCs w:val="24"/>
        </w:rPr>
        <w:t>13</w:t>
      </w:r>
      <w:r w:rsidRPr="00B81A75">
        <w:rPr>
          <w:noProof/>
          <w:szCs w:val="24"/>
        </w:rPr>
        <w:t>, 201</w:t>
      </w:r>
      <w:r>
        <w:rPr>
          <w:noProof/>
          <w:szCs w:val="24"/>
        </w:rPr>
        <w:t>6</w:t>
      </w:r>
    </w:p>
    <w:sectPr w:rsidR="004C6C0F" w:rsidRPr="004C6C0F" w:rsidSect="006F15B5">
      <w:pgSz w:w="12240" w:h="15840" w:code="1"/>
      <w:pgMar w:top="1080" w:right="1152" w:bottom="864" w:left="1440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35" w:rsidRDefault="002C0F35">
      <w:r>
        <w:separator/>
      </w:r>
    </w:p>
  </w:endnote>
  <w:endnote w:type="continuationSeparator" w:id="0">
    <w:p w:rsidR="002C0F35" w:rsidRDefault="002C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35" w:rsidRDefault="002C0F35">
      <w:r>
        <w:separator/>
      </w:r>
    </w:p>
  </w:footnote>
  <w:footnote w:type="continuationSeparator" w:id="0">
    <w:p w:rsidR="002C0F35" w:rsidRDefault="002C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63E"/>
    <w:multiLevelType w:val="hybridMultilevel"/>
    <w:tmpl w:val="A22607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CB2795"/>
    <w:multiLevelType w:val="multilevel"/>
    <w:tmpl w:val="8D6C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F2A4D"/>
    <w:multiLevelType w:val="multilevel"/>
    <w:tmpl w:val="2128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9568A"/>
    <w:multiLevelType w:val="multilevel"/>
    <w:tmpl w:val="FDC4024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4">
    <w:nsid w:val="1BEA1770"/>
    <w:multiLevelType w:val="hybridMultilevel"/>
    <w:tmpl w:val="96D88A56"/>
    <w:lvl w:ilvl="0" w:tplc="22429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A5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22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44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CC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4E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69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84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805ED"/>
    <w:multiLevelType w:val="hybridMultilevel"/>
    <w:tmpl w:val="F0B02D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A4461"/>
    <w:multiLevelType w:val="multilevel"/>
    <w:tmpl w:val="E9B2FC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Annex 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7">
    <w:nsid w:val="33CC4479"/>
    <w:multiLevelType w:val="hybridMultilevel"/>
    <w:tmpl w:val="28547B68"/>
    <w:lvl w:ilvl="0" w:tplc="1CB4AEC0">
      <w:start w:val="1"/>
      <w:numFmt w:val="upperLetter"/>
      <w:pStyle w:val="TOCAnnex"/>
      <w:lvlText w:val="Annex 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90963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1E7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2B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CC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7CA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EE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20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5354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9824EEB"/>
    <w:multiLevelType w:val="hybridMultilevel"/>
    <w:tmpl w:val="776870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7540D"/>
    <w:multiLevelType w:val="multilevel"/>
    <w:tmpl w:val="3B6E432E"/>
    <w:lvl w:ilvl="0">
      <w:start w:val="6"/>
      <w:numFmt w:val="decimal"/>
      <w:pStyle w:val="Heading1"/>
      <w:lvlText w:val="%1.0"/>
      <w:lvlJc w:val="left"/>
      <w:pPr>
        <w:tabs>
          <w:tab w:val="num" w:pos="0"/>
        </w:tabs>
        <w:ind w:left="720" w:hanging="72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0"/>
        </w:tabs>
        <w:ind w:left="162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99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cs="Times New Roman" w:hint="default"/>
      </w:rPr>
    </w:lvl>
  </w:abstractNum>
  <w:abstractNum w:abstractNumId="11">
    <w:nsid w:val="4CA81981"/>
    <w:multiLevelType w:val="multilevel"/>
    <w:tmpl w:val="C5FCDE4A"/>
    <w:lvl w:ilvl="0">
      <w:start w:val="1"/>
      <w:numFmt w:val="upperLetter"/>
      <w:pStyle w:val="Annex"/>
      <w:lvlText w:val="Annex %1"/>
      <w:lvlJc w:val="left"/>
      <w:pPr>
        <w:tabs>
          <w:tab w:val="num" w:pos="0"/>
        </w:tabs>
        <w:ind w:left="720" w:hanging="72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cs="Times New Roman" w:hint="default"/>
      </w:rPr>
    </w:lvl>
  </w:abstractNum>
  <w:abstractNum w:abstractNumId="12">
    <w:nsid w:val="4F7C079A"/>
    <w:multiLevelType w:val="hybridMultilevel"/>
    <w:tmpl w:val="A594A7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F11BD4"/>
    <w:multiLevelType w:val="multilevel"/>
    <w:tmpl w:val="7056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E94AF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5">
    <w:nsid w:val="57010FD0"/>
    <w:multiLevelType w:val="multilevel"/>
    <w:tmpl w:val="BC08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15EA9"/>
    <w:multiLevelType w:val="hybridMultilevel"/>
    <w:tmpl w:val="8A263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052634"/>
    <w:multiLevelType w:val="hybridMultilevel"/>
    <w:tmpl w:val="FB3A8BEE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D06E6"/>
    <w:multiLevelType w:val="multilevel"/>
    <w:tmpl w:val="BB261E76"/>
    <w:lvl w:ilvl="0">
      <w:start w:val="1"/>
      <w:numFmt w:val="decimal"/>
      <w:pStyle w:val="TOC1"/>
      <w:lvlText w:val="%1.0"/>
      <w:lvlJc w:val="left"/>
      <w:pPr>
        <w:tabs>
          <w:tab w:val="num" w:pos="0"/>
        </w:tabs>
        <w:ind w:left="720" w:hanging="72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cs="Times New Roman" w:hint="default"/>
      </w:rPr>
    </w:lvl>
  </w:abstractNum>
  <w:abstractNum w:abstractNumId="19">
    <w:nsid w:val="6F57234E"/>
    <w:multiLevelType w:val="hybridMultilevel"/>
    <w:tmpl w:val="4B3E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97D17"/>
    <w:multiLevelType w:val="multilevel"/>
    <w:tmpl w:val="56E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7424A4"/>
    <w:multiLevelType w:val="hybridMultilevel"/>
    <w:tmpl w:val="5B10E5F6"/>
    <w:lvl w:ilvl="0" w:tplc="AAC2567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8"/>
  </w:num>
  <w:num w:numId="5">
    <w:abstractNumId w:val="7"/>
  </w:num>
  <w:num w:numId="6">
    <w:abstractNumId w:val="11"/>
  </w:num>
  <w:num w:numId="7">
    <w:abstractNumId w:val="17"/>
  </w:num>
  <w:num w:numId="8">
    <w:abstractNumId w:val="4"/>
  </w:num>
  <w:num w:numId="9">
    <w:abstractNumId w:val="8"/>
  </w:num>
  <w:num w:numId="10">
    <w:abstractNumId w:val="19"/>
  </w:num>
  <w:num w:numId="11">
    <w:abstractNumId w:val="1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</w:num>
  <w:num w:numId="15">
    <w:abstractNumId w:val="2"/>
  </w:num>
  <w:num w:numId="16">
    <w:abstractNumId w:val="13"/>
  </w:num>
  <w:num w:numId="17">
    <w:abstractNumId w:val="20"/>
  </w:num>
  <w:num w:numId="18">
    <w:abstractNumId w:val="12"/>
  </w:num>
  <w:num w:numId="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10"/>
  </w:num>
  <w:num w:numId="23">
    <w:abstractNumId w:val="10"/>
  </w:num>
  <w:num w:numId="24">
    <w:abstractNumId w:val="5"/>
  </w:num>
  <w:num w:numId="2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70"/>
    <w:rsid w:val="0001136C"/>
    <w:rsid w:val="000138A1"/>
    <w:rsid w:val="000238C2"/>
    <w:rsid w:val="00030B7D"/>
    <w:rsid w:val="000352BE"/>
    <w:rsid w:val="00045EDF"/>
    <w:rsid w:val="00050344"/>
    <w:rsid w:val="00050D5E"/>
    <w:rsid w:val="000532A5"/>
    <w:rsid w:val="00057234"/>
    <w:rsid w:val="00062923"/>
    <w:rsid w:val="00071C8E"/>
    <w:rsid w:val="00080D47"/>
    <w:rsid w:val="00082BB0"/>
    <w:rsid w:val="0008475A"/>
    <w:rsid w:val="000902B0"/>
    <w:rsid w:val="00093078"/>
    <w:rsid w:val="00093CF2"/>
    <w:rsid w:val="00096BA9"/>
    <w:rsid w:val="000B35F0"/>
    <w:rsid w:val="000B4B9B"/>
    <w:rsid w:val="000B7450"/>
    <w:rsid w:val="000C2174"/>
    <w:rsid w:val="000C4113"/>
    <w:rsid w:val="000D7CB8"/>
    <w:rsid w:val="000E0EAD"/>
    <w:rsid w:val="000E2277"/>
    <w:rsid w:val="000E37BE"/>
    <w:rsid w:val="000E465F"/>
    <w:rsid w:val="000E4973"/>
    <w:rsid w:val="00114A76"/>
    <w:rsid w:val="0012339B"/>
    <w:rsid w:val="0012378E"/>
    <w:rsid w:val="00124312"/>
    <w:rsid w:val="00125596"/>
    <w:rsid w:val="00133371"/>
    <w:rsid w:val="00137D6C"/>
    <w:rsid w:val="001430BC"/>
    <w:rsid w:val="0014476D"/>
    <w:rsid w:val="00144CA6"/>
    <w:rsid w:val="00165811"/>
    <w:rsid w:val="001677C7"/>
    <w:rsid w:val="00167FF0"/>
    <w:rsid w:val="00171C98"/>
    <w:rsid w:val="00173A40"/>
    <w:rsid w:val="00180D38"/>
    <w:rsid w:val="0018744B"/>
    <w:rsid w:val="001942AB"/>
    <w:rsid w:val="001A0738"/>
    <w:rsid w:val="001A30A6"/>
    <w:rsid w:val="001B00F9"/>
    <w:rsid w:val="001B2004"/>
    <w:rsid w:val="001B71FA"/>
    <w:rsid w:val="001C01D1"/>
    <w:rsid w:val="001C0C1A"/>
    <w:rsid w:val="001C76CC"/>
    <w:rsid w:val="001D6C01"/>
    <w:rsid w:val="001E21CE"/>
    <w:rsid w:val="00202D8D"/>
    <w:rsid w:val="00215EA7"/>
    <w:rsid w:val="00224CB4"/>
    <w:rsid w:val="00226A72"/>
    <w:rsid w:val="002278D0"/>
    <w:rsid w:val="00234A77"/>
    <w:rsid w:val="00240DC0"/>
    <w:rsid w:val="00256ED9"/>
    <w:rsid w:val="002608C5"/>
    <w:rsid w:val="00262F29"/>
    <w:rsid w:val="00277ABE"/>
    <w:rsid w:val="00283452"/>
    <w:rsid w:val="00283EA8"/>
    <w:rsid w:val="0028719A"/>
    <w:rsid w:val="00291E65"/>
    <w:rsid w:val="002B0F67"/>
    <w:rsid w:val="002B1EC8"/>
    <w:rsid w:val="002B2EC6"/>
    <w:rsid w:val="002C045D"/>
    <w:rsid w:val="002C0F35"/>
    <w:rsid w:val="002C26A6"/>
    <w:rsid w:val="002C63BF"/>
    <w:rsid w:val="002C6467"/>
    <w:rsid w:val="002D098B"/>
    <w:rsid w:val="002D22B3"/>
    <w:rsid w:val="002E5A87"/>
    <w:rsid w:val="002F45FF"/>
    <w:rsid w:val="002F6F2B"/>
    <w:rsid w:val="00304BE7"/>
    <w:rsid w:val="00305B62"/>
    <w:rsid w:val="0031537E"/>
    <w:rsid w:val="0032166B"/>
    <w:rsid w:val="00324140"/>
    <w:rsid w:val="0032533D"/>
    <w:rsid w:val="00327EBB"/>
    <w:rsid w:val="00330B5A"/>
    <w:rsid w:val="00331F10"/>
    <w:rsid w:val="003343DD"/>
    <w:rsid w:val="00337344"/>
    <w:rsid w:val="00341C59"/>
    <w:rsid w:val="003515B8"/>
    <w:rsid w:val="00352B7A"/>
    <w:rsid w:val="00360013"/>
    <w:rsid w:val="00376FFC"/>
    <w:rsid w:val="00381AAD"/>
    <w:rsid w:val="0039383B"/>
    <w:rsid w:val="00393A82"/>
    <w:rsid w:val="00393AEF"/>
    <w:rsid w:val="00394570"/>
    <w:rsid w:val="00396E83"/>
    <w:rsid w:val="003A2FB0"/>
    <w:rsid w:val="003A395D"/>
    <w:rsid w:val="003A50B1"/>
    <w:rsid w:val="003D14E5"/>
    <w:rsid w:val="003D2ADF"/>
    <w:rsid w:val="003E7EF3"/>
    <w:rsid w:val="003F0974"/>
    <w:rsid w:val="003F72D9"/>
    <w:rsid w:val="004001A5"/>
    <w:rsid w:val="00401398"/>
    <w:rsid w:val="004109AB"/>
    <w:rsid w:val="00410B08"/>
    <w:rsid w:val="00412369"/>
    <w:rsid w:val="004138EB"/>
    <w:rsid w:val="00417C8F"/>
    <w:rsid w:val="00422E6E"/>
    <w:rsid w:val="004243AA"/>
    <w:rsid w:val="004341AA"/>
    <w:rsid w:val="00437D80"/>
    <w:rsid w:val="00441DB2"/>
    <w:rsid w:val="0044595B"/>
    <w:rsid w:val="004472A0"/>
    <w:rsid w:val="0045229A"/>
    <w:rsid w:val="004549F7"/>
    <w:rsid w:val="0045792A"/>
    <w:rsid w:val="004605AF"/>
    <w:rsid w:val="00464C63"/>
    <w:rsid w:val="00465358"/>
    <w:rsid w:val="004669E5"/>
    <w:rsid w:val="004749CA"/>
    <w:rsid w:val="00486A22"/>
    <w:rsid w:val="00487346"/>
    <w:rsid w:val="00492D7A"/>
    <w:rsid w:val="00495FFD"/>
    <w:rsid w:val="004A026D"/>
    <w:rsid w:val="004A290A"/>
    <w:rsid w:val="004C6C0F"/>
    <w:rsid w:val="004D0A3D"/>
    <w:rsid w:val="004E21EF"/>
    <w:rsid w:val="004E3EDF"/>
    <w:rsid w:val="004F4DD5"/>
    <w:rsid w:val="004F755D"/>
    <w:rsid w:val="00501F79"/>
    <w:rsid w:val="0051277B"/>
    <w:rsid w:val="00522537"/>
    <w:rsid w:val="005308C3"/>
    <w:rsid w:val="00530913"/>
    <w:rsid w:val="00552EF2"/>
    <w:rsid w:val="00561F26"/>
    <w:rsid w:val="005664B6"/>
    <w:rsid w:val="0057081F"/>
    <w:rsid w:val="00572C83"/>
    <w:rsid w:val="00584F02"/>
    <w:rsid w:val="00596702"/>
    <w:rsid w:val="005A70FD"/>
    <w:rsid w:val="005A7AFD"/>
    <w:rsid w:val="005B61DC"/>
    <w:rsid w:val="005D76B6"/>
    <w:rsid w:val="005E15C2"/>
    <w:rsid w:val="005E78C2"/>
    <w:rsid w:val="005F5F97"/>
    <w:rsid w:val="006005DC"/>
    <w:rsid w:val="00605AF4"/>
    <w:rsid w:val="00606219"/>
    <w:rsid w:val="0060673A"/>
    <w:rsid w:val="00613841"/>
    <w:rsid w:val="00615395"/>
    <w:rsid w:val="00616F54"/>
    <w:rsid w:val="00623287"/>
    <w:rsid w:val="00625632"/>
    <w:rsid w:val="006404DD"/>
    <w:rsid w:val="00642871"/>
    <w:rsid w:val="00643EFB"/>
    <w:rsid w:val="006441BF"/>
    <w:rsid w:val="00655B0C"/>
    <w:rsid w:val="00667281"/>
    <w:rsid w:val="00682AFD"/>
    <w:rsid w:val="00691FDF"/>
    <w:rsid w:val="006A5227"/>
    <w:rsid w:val="006A7401"/>
    <w:rsid w:val="006B42E2"/>
    <w:rsid w:val="006C2DC2"/>
    <w:rsid w:val="006C39A5"/>
    <w:rsid w:val="006E06E9"/>
    <w:rsid w:val="006E231F"/>
    <w:rsid w:val="006F15B5"/>
    <w:rsid w:val="006F4AA9"/>
    <w:rsid w:val="006F58E1"/>
    <w:rsid w:val="006F798D"/>
    <w:rsid w:val="00703959"/>
    <w:rsid w:val="0070569A"/>
    <w:rsid w:val="00705E07"/>
    <w:rsid w:val="00706F50"/>
    <w:rsid w:val="007155C6"/>
    <w:rsid w:val="00731C09"/>
    <w:rsid w:val="007348D2"/>
    <w:rsid w:val="00737321"/>
    <w:rsid w:val="007400A5"/>
    <w:rsid w:val="00741166"/>
    <w:rsid w:val="007424F3"/>
    <w:rsid w:val="007511F2"/>
    <w:rsid w:val="00754066"/>
    <w:rsid w:val="00754D1B"/>
    <w:rsid w:val="007554E7"/>
    <w:rsid w:val="00756AEB"/>
    <w:rsid w:val="00756FAB"/>
    <w:rsid w:val="00764B2C"/>
    <w:rsid w:val="0076611A"/>
    <w:rsid w:val="00767B17"/>
    <w:rsid w:val="00770D29"/>
    <w:rsid w:val="00775724"/>
    <w:rsid w:val="00776A7D"/>
    <w:rsid w:val="00795CE5"/>
    <w:rsid w:val="007A4B57"/>
    <w:rsid w:val="007A5AE9"/>
    <w:rsid w:val="007B314A"/>
    <w:rsid w:val="007B3550"/>
    <w:rsid w:val="007C0F5F"/>
    <w:rsid w:val="007C1A54"/>
    <w:rsid w:val="007C2233"/>
    <w:rsid w:val="007C4AD8"/>
    <w:rsid w:val="007C7D01"/>
    <w:rsid w:val="007D46E1"/>
    <w:rsid w:val="007D54DF"/>
    <w:rsid w:val="007F4A5F"/>
    <w:rsid w:val="007F4B81"/>
    <w:rsid w:val="007F6F6B"/>
    <w:rsid w:val="008013BA"/>
    <w:rsid w:val="008058EE"/>
    <w:rsid w:val="00813D0A"/>
    <w:rsid w:val="008256B9"/>
    <w:rsid w:val="0083453F"/>
    <w:rsid w:val="00840D77"/>
    <w:rsid w:val="00841859"/>
    <w:rsid w:val="00841870"/>
    <w:rsid w:val="00853291"/>
    <w:rsid w:val="008636C0"/>
    <w:rsid w:val="0086438A"/>
    <w:rsid w:val="0087004B"/>
    <w:rsid w:val="008717FF"/>
    <w:rsid w:val="00872C54"/>
    <w:rsid w:val="008806BB"/>
    <w:rsid w:val="008842BD"/>
    <w:rsid w:val="00890BD1"/>
    <w:rsid w:val="008A08A1"/>
    <w:rsid w:val="008A25B2"/>
    <w:rsid w:val="008A3BDA"/>
    <w:rsid w:val="008A45B6"/>
    <w:rsid w:val="008A530F"/>
    <w:rsid w:val="008A70CB"/>
    <w:rsid w:val="008B435B"/>
    <w:rsid w:val="008B5DB5"/>
    <w:rsid w:val="008C347A"/>
    <w:rsid w:val="008D6F99"/>
    <w:rsid w:val="008D7B93"/>
    <w:rsid w:val="008E0336"/>
    <w:rsid w:val="008E2A6D"/>
    <w:rsid w:val="008E3DE8"/>
    <w:rsid w:val="008E79EC"/>
    <w:rsid w:val="009001A5"/>
    <w:rsid w:val="0090047E"/>
    <w:rsid w:val="00903067"/>
    <w:rsid w:val="00915FE5"/>
    <w:rsid w:val="00916CBF"/>
    <w:rsid w:val="009229FF"/>
    <w:rsid w:val="00926F79"/>
    <w:rsid w:val="00930253"/>
    <w:rsid w:val="009363E5"/>
    <w:rsid w:val="009437A7"/>
    <w:rsid w:val="00961749"/>
    <w:rsid w:val="00961DB2"/>
    <w:rsid w:val="009665A0"/>
    <w:rsid w:val="00967E5B"/>
    <w:rsid w:val="009837C5"/>
    <w:rsid w:val="00990770"/>
    <w:rsid w:val="009939B8"/>
    <w:rsid w:val="00993A76"/>
    <w:rsid w:val="009A11D2"/>
    <w:rsid w:val="009A3D35"/>
    <w:rsid w:val="009A7402"/>
    <w:rsid w:val="009B442E"/>
    <w:rsid w:val="009B5C2E"/>
    <w:rsid w:val="009C0186"/>
    <w:rsid w:val="009C5207"/>
    <w:rsid w:val="009D072B"/>
    <w:rsid w:val="009E688D"/>
    <w:rsid w:val="00A058FF"/>
    <w:rsid w:val="00A0715A"/>
    <w:rsid w:val="00A1537D"/>
    <w:rsid w:val="00A24BB5"/>
    <w:rsid w:val="00A33112"/>
    <w:rsid w:val="00A579FC"/>
    <w:rsid w:val="00A610C0"/>
    <w:rsid w:val="00A813AD"/>
    <w:rsid w:val="00A85EC5"/>
    <w:rsid w:val="00A878F1"/>
    <w:rsid w:val="00A9323A"/>
    <w:rsid w:val="00AA0DD3"/>
    <w:rsid w:val="00AA6B53"/>
    <w:rsid w:val="00AB5D17"/>
    <w:rsid w:val="00AC4427"/>
    <w:rsid w:val="00AD4E63"/>
    <w:rsid w:val="00AD7EFF"/>
    <w:rsid w:val="00AE1A88"/>
    <w:rsid w:val="00AE35C5"/>
    <w:rsid w:val="00AE4687"/>
    <w:rsid w:val="00AE6E84"/>
    <w:rsid w:val="00AF0B1E"/>
    <w:rsid w:val="00AF0DF7"/>
    <w:rsid w:val="00AF4E88"/>
    <w:rsid w:val="00B01A1D"/>
    <w:rsid w:val="00B074F5"/>
    <w:rsid w:val="00B16F8F"/>
    <w:rsid w:val="00B20898"/>
    <w:rsid w:val="00B33D93"/>
    <w:rsid w:val="00B33DD0"/>
    <w:rsid w:val="00B344A7"/>
    <w:rsid w:val="00B43C7A"/>
    <w:rsid w:val="00B540F3"/>
    <w:rsid w:val="00B60C58"/>
    <w:rsid w:val="00B678E2"/>
    <w:rsid w:val="00B7315B"/>
    <w:rsid w:val="00B81903"/>
    <w:rsid w:val="00B81BD0"/>
    <w:rsid w:val="00BA2F1B"/>
    <w:rsid w:val="00BA77DC"/>
    <w:rsid w:val="00BB360E"/>
    <w:rsid w:val="00BC352E"/>
    <w:rsid w:val="00BC489D"/>
    <w:rsid w:val="00BC67D9"/>
    <w:rsid w:val="00BD198F"/>
    <w:rsid w:val="00BD1FDC"/>
    <w:rsid w:val="00BE2388"/>
    <w:rsid w:val="00BE2823"/>
    <w:rsid w:val="00BF0F3B"/>
    <w:rsid w:val="00BF2584"/>
    <w:rsid w:val="00C05881"/>
    <w:rsid w:val="00C07D9A"/>
    <w:rsid w:val="00C11001"/>
    <w:rsid w:val="00C110E2"/>
    <w:rsid w:val="00C33708"/>
    <w:rsid w:val="00C479A3"/>
    <w:rsid w:val="00C63E20"/>
    <w:rsid w:val="00C63F18"/>
    <w:rsid w:val="00C64F9B"/>
    <w:rsid w:val="00C66E12"/>
    <w:rsid w:val="00C72450"/>
    <w:rsid w:val="00C74485"/>
    <w:rsid w:val="00C803DB"/>
    <w:rsid w:val="00C80AC6"/>
    <w:rsid w:val="00C902DB"/>
    <w:rsid w:val="00CA5CC3"/>
    <w:rsid w:val="00CC0A41"/>
    <w:rsid w:val="00CC2686"/>
    <w:rsid w:val="00CE4564"/>
    <w:rsid w:val="00CE4A40"/>
    <w:rsid w:val="00CF34B3"/>
    <w:rsid w:val="00CF673F"/>
    <w:rsid w:val="00D01921"/>
    <w:rsid w:val="00D02702"/>
    <w:rsid w:val="00D05AC8"/>
    <w:rsid w:val="00D06C2A"/>
    <w:rsid w:val="00D23222"/>
    <w:rsid w:val="00D27AFC"/>
    <w:rsid w:val="00D32BB2"/>
    <w:rsid w:val="00D44067"/>
    <w:rsid w:val="00D448FC"/>
    <w:rsid w:val="00D51965"/>
    <w:rsid w:val="00D535A5"/>
    <w:rsid w:val="00D62606"/>
    <w:rsid w:val="00D645A5"/>
    <w:rsid w:val="00D65BB0"/>
    <w:rsid w:val="00D72DB9"/>
    <w:rsid w:val="00D81FA0"/>
    <w:rsid w:val="00D8454C"/>
    <w:rsid w:val="00D9451D"/>
    <w:rsid w:val="00D966DC"/>
    <w:rsid w:val="00DA2472"/>
    <w:rsid w:val="00DB0C81"/>
    <w:rsid w:val="00DB230C"/>
    <w:rsid w:val="00DB4A6D"/>
    <w:rsid w:val="00DB4F00"/>
    <w:rsid w:val="00DD1EB5"/>
    <w:rsid w:val="00DE1E41"/>
    <w:rsid w:val="00E110AE"/>
    <w:rsid w:val="00E2113B"/>
    <w:rsid w:val="00E26921"/>
    <w:rsid w:val="00E27C3C"/>
    <w:rsid w:val="00E27EEB"/>
    <w:rsid w:val="00E30BB5"/>
    <w:rsid w:val="00E31648"/>
    <w:rsid w:val="00E32540"/>
    <w:rsid w:val="00E401FC"/>
    <w:rsid w:val="00E610CB"/>
    <w:rsid w:val="00E61D18"/>
    <w:rsid w:val="00E727EF"/>
    <w:rsid w:val="00E7684A"/>
    <w:rsid w:val="00E77F41"/>
    <w:rsid w:val="00E87B3F"/>
    <w:rsid w:val="00E95A52"/>
    <w:rsid w:val="00EA3081"/>
    <w:rsid w:val="00EB33AB"/>
    <w:rsid w:val="00EB6ABE"/>
    <w:rsid w:val="00EB724E"/>
    <w:rsid w:val="00EB7494"/>
    <w:rsid w:val="00EC41EF"/>
    <w:rsid w:val="00EE4B0A"/>
    <w:rsid w:val="00EE6575"/>
    <w:rsid w:val="00EE7C8C"/>
    <w:rsid w:val="00EF50F9"/>
    <w:rsid w:val="00F0276D"/>
    <w:rsid w:val="00F04A9B"/>
    <w:rsid w:val="00F069C7"/>
    <w:rsid w:val="00F1498C"/>
    <w:rsid w:val="00F14DE4"/>
    <w:rsid w:val="00F21B41"/>
    <w:rsid w:val="00F23052"/>
    <w:rsid w:val="00F25D72"/>
    <w:rsid w:val="00F27D93"/>
    <w:rsid w:val="00F43513"/>
    <w:rsid w:val="00F4651F"/>
    <w:rsid w:val="00F46F6E"/>
    <w:rsid w:val="00F51037"/>
    <w:rsid w:val="00F52E25"/>
    <w:rsid w:val="00F53AF5"/>
    <w:rsid w:val="00F53FAB"/>
    <w:rsid w:val="00F542D9"/>
    <w:rsid w:val="00F723F8"/>
    <w:rsid w:val="00F8440C"/>
    <w:rsid w:val="00F86BEE"/>
    <w:rsid w:val="00F90200"/>
    <w:rsid w:val="00FA0EE8"/>
    <w:rsid w:val="00FA7642"/>
    <w:rsid w:val="00FB5D35"/>
    <w:rsid w:val="00FC51A1"/>
    <w:rsid w:val="00FC73F1"/>
    <w:rsid w:val="00FD7ECA"/>
    <w:rsid w:val="00FE0ED8"/>
    <w:rsid w:val="00FE10C4"/>
    <w:rsid w:val="00FF4E4C"/>
    <w:rsid w:val="00FF5EA0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qFormat/>
    <w:rsid w:val="00180D38"/>
    <w:pPr>
      <w:keepNext/>
      <w:numPr>
        <w:numId w:val="3"/>
      </w:numPr>
      <w:tabs>
        <w:tab w:val="left" w:pos="720"/>
      </w:tabs>
      <w:spacing w:before="240" w:after="0"/>
      <w:outlineLvl w:val="0"/>
    </w:pPr>
    <w:rPr>
      <w:rFonts w:ascii="Times New Roman" w:hAnsi="Times New Roman"/>
      <w:b/>
      <w:smallCaps/>
      <w:kern w:val="32"/>
      <w:sz w:val="24"/>
      <w:szCs w:val="24"/>
    </w:rPr>
  </w:style>
  <w:style w:type="paragraph" w:styleId="Heading2">
    <w:name w:val="heading 2"/>
    <w:basedOn w:val="ListParagraph"/>
    <w:next w:val="Normal"/>
    <w:qFormat/>
    <w:rsid w:val="00096BA9"/>
    <w:pPr>
      <w:keepNext/>
      <w:numPr>
        <w:ilvl w:val="1"/>
        <w:numId w:val="3"/>
      </w:numPr>
      <w:tabs>
        <w:tab w:val="left" w:pos="900"/>
      </w:tabs>
      <w:spacing w:before="240" w:after="0"/>
      <w:outlineLvl w:val="1"/>
    </w:pPr>
    <w:rPr>
      <w:rFonts w:ascii="Times New Roman" w:hAnsi="Times New Roman"/>
      <w:b/>
      <w:smallCaps/>
    </w:rPr>
  </w:style>
  <w:style w:type="paragraph" w:styleId="Heading3">
    <w:name w:val="heading 3"/>
    <w:basedOn w:val="Normal"/>
    <w:next w:val="Normal"/>
    <w:qFormat/>
    <w:rsid w:val="008D7B93"/>
    <w:pPr>
      <w:keepNext/>
      <w:numPr>
        <w:ilvl w:val="2"/>
        <w:numId w:val="3"/>
      </w:numPr>
      <w:tabs>
        <w:tab w:val="left" w:pos="1440"/>
      </w:tabs>
      <w:spacing w:before="240" w:after="6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5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Heading1"/>
    <w:link w:val="HeaderChar"/>
    <w:rsid w:val="00522537"/>
    <w:pPr>
      <w:numPr>
        <w:numId w:val="0"/>
      </w:numPr>
    </w:pPr>
    <w:rPr>
      <w:sz w:val="28"/>
      <w:szCs w:val="28"/>
    </w:rPr>
  </w:style>
  <w:style w:type="character" w:customStyle="1" w:styleId="HeaderChar">
    <w:name w:val="Header Char"/>
    <w:link w:val="Header"/>
    <w:locked/>
    <w:rsid w:val="00522537"/>
    <w:rPr>
      <w:b/>
      <w:smallCaps/>
      <w:kern w:val="32"/>
      <w:sz w:val="28"/>
      <w:szCs w:val="28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Revision">
    <w:name w:val="Revision"/>
    <w:hidden/>
    <w:uiPriority w:val="99"/>
    <w:semiHidden/>
    <w:rsid w:val="008717FF"/>
  </w:style>
  <w:style w:type="paragraph" w:styleId="BalloonText">
    <w:name w:val="Balloon Text"/>
    <w:basedOn w:val="Normal"/>
    <w:link w:val="BalloonTextChar"/>
    <w:uiPriority w:val="99"/>
    <w:semiHidden/>
    <w:unhideWhenUsed/>
    <w:rsid w:val="00871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17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F15B5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 1"/>
    <w:basedOn w:val="Normal"/>
    <w:rsid w:val="00B81903"/>
    <w:pPr>
      <w:spacing w:before="240"/>
    </w:pPr>
    <w:rPr>
      <w:sz w:val="22"/>
    </w:rPr>
  </w:style>
  <w:style w:type="paragraph" w:customStyle="1" w:styleId="Indent2">
    <w:name w:val="Indent 2"/>
    <w:basedOn w:val="Normal"/>
    <w:link w:val="Indent2Char"/>
    <w:rsid w:val="00F53AF5"/>
    <w:pPr>
      <w:spacing w:before="240"/>
      <w:ind w:left="180"/>
    </w:pPr>
    <w:rPr>
      <w:sz w:val="22"/>
    </w:rPr>
  </w:style>
  <w:style w:type="character" w:customStyle="1" w:styleId="Indent2Char">
    <w:name w:val="Indent 2 Char"/>
    <w:link w:val="Indent2"/>
    <w:rsid w:val="00F53AF5"/>
    <w:rPr>
      <w:sz w:val="22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1942AB"/>
    <w:pPr>
      <w:keepNext/>
      <w:numPr>
        <w:numId w:val="4"/>
      </w:numPr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B540F3"/>
    <w:pPr>
      <w:keepNext/>
      <w:ind w:left="540"/>
    </w:pPr>
    <w:rPr>
      <w:b/>
      <w:sz w:val="22"/>
      <w:szCs w:val="22"/>
    </w:rPr>
  </w:style>
  <w:style w:type="paragraph" w:customStyle="1" w:styleId="StyleTOC211ptBold">
    <w:name w:val="Style TOC 2 + 11 pt Bold"/>
    <w:basedOn w:val="TOC1"/>
    <w:rsid w:val="00A878F1"/>
  </w:style>
  <w:style w:type="paragraph" w:customStyle="1" w:styleId="Annex">
    <w:name w:val="Annex"/>
    <w:basedOn w:val="List"/>
    <w:link w:val="AnnexChar"/>
    <w:rsid w:val="007A5AE9"/>
    <w:pPr>
      <w:numPr>
        <w:numId w:val="6"/>
      </w:numPr>
    </w:pPr>
    <w:rPr>
      <w:b/>
      <w:sz w:val="24"/>
      <w:szCs w:val="24"/>
    </w:rPr>
  </w:style>
  <w:style w:type="paragraph" w:styleId="List">
    <w:name w:val="List"/>
    <w:basedOn w:val="Normal"/>
    <w:link w:val="ListChar"/>
    <w:rsid w:val="00A878F1"/>
    <w:pPr>
      <w:ind w:left="360" w:hanging="360"/>
    </w:pPr>
  </w:style>
  <w:style w:type="character" w:customStyle="1" w:styleId="ListChar">
    <w:name w:val="List Char"/>
    <w:link w:val="List"/>
    <w:rsid w:val="007A5AE9"/>
    <w:rPr>
      <w:lang w:val="en-US" w:eastAsia="en-US" w:bidi="ar-SA"/>
    </w:rPr>
  </w:style>
  <w:style w:type="character" w:customStyle="1" w:styleId="AnnexChar">
    <w:name w:val="Annex Char"/>
    <w:link w:val="Annex"/>
    <w:rsid w:val="007A5AE9"/>
    <w:rPr>
      <w:b/>
      <w:sz w:val="24"/>
      <w:szCs w:val="24"/>
    </w:rPr>
  </w:style>
  <w:style w:type="paragraph" w:customStyle="1" w:styleId="TOCAnnex">
    <w:name w:val="TOC Annex"/>
    <w:basedOn w:val="Annex"/>
    <w:rsid w:val="00795CE5"/>
    <w:pPr>
      <w:numPr>
        <w:numId w:val="5"/>
      </w:numPr>
    </w:pPr>
    <w:rPr>
      <w:b w:val="0"/>
      <w:sz w:val="22"/>
      <w:szCs w:val="22"/>
    </w:rPr>
  </w:style>
  <w:style w:type="character" w:styleId="Hyperlink">
    <w:name w:val="Hyperlink"/>
    <w:uiPriority w:val="99"/>
    <w:rsid w:val="00596702"/>
    <w:rPr>
      <w:color w:val="0000FF"/>
      <w:u w:val="single"/>
    </w:rPr>
  </w:style>
  <w:style w:type="paragraph" w:styleId="BodyText3">
    <w:name w:val="Body Text 3"/>
    <w:basedOn w:val="Normal"/>
    <w:rsid w:val="00596702"/>
    <w:pPr>
      <w:autoSpaceDE w:val="0"/>
      <w:autoSpaceDN w:val="0"/>
      <w:adjustRightInd w:val="0"/>
    </w:pPr>
    <w:rPr>
      <w:color w:val="000000"/>
      <w:sz w:val="24"/>
    </w:rPr>
  </w:style>
  <w:style w:type="character" w:styleId="Strong">
    <w:name w:val="Strong"/>
    <w:uiPriority w:val="22"/>
    <w:qFormat/>
    <w:rsid w:val="00596702"/>
    <w:rPr>
      <w:b/>
    </w:rPr>
  </w:style>
  <w:style w:type="paragraph" w:customStyle="1" w:styleId="Indent3">
    <w:name w:val="Indent 3"/>
    <w:basedOn w:val="Indent2"/>
    <w:link w:val="Indent3Char"/>
    <w:rsid w:val="00F53AF5"/>
    <w:pPr>
      <w:spacing w:before="120"/>
      <w:ind w:left="360"/>
    </w:pPr>
  </w:style>
  <w:style w:type="character" w:customStyle="1" w:styleId="Indent3Char">
    <w:name w:val="Indent 3 Char"/>
    <w:basedOn w:val="Indent2Char"/>
    <w:link w:val="Indent3"/>
    <w:rsid w:val="00F53AF5"/>
    <w:rPr>
      <w:sz w:val="22"/>
      <w:lang w:val="en-US" w:eastAsia="en-US" w:bidi="ar-SA"/>
    </w:rPr>
  </w:style>
  <w:style w:type="paragraph" w:customStyle="1" w:styleId="Indent4">
    <w:name w:val="Indent 4"/>
    <w:basedOn w:val="Indent3"/>
    <w:rsid w:val="00F53AF5"/>
    <w:pPr>
      <w:ind w:left="540"/>
    </w:pPr>
    <w:rPr>
      <w:bCs/>
      <w:color w:val="1A1A1A"/>
      <w:szCs w:val="23"/>
      <w:lang w:val="en-GB"/>
    </w:rPr>
  </w:style>
  <w:style w:type="paragraph" w:customStyle="1" w:styleId="StyleTOC2Before12pt">
    <w:name w:val="Style TOC 2 + Before:  12 pt"/>
    <w:basedOn w:val="TOC2"/>
    <w:rsid w:val="00841859"/>
    <w:pPr>
      <w:spacing w:before="240"/>
    </w:pPr>
    <w:rPr>
      <w:bCs/>
      <w:szCs w:val="20"/>
    </w:rPr>
  </w:style>
  <w:style w:type="paragraph" w:customStyle="1" w:styleId="Default">
    <w:name w:val="Default"/>
    <w:rsid w:val="003A5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dent4-Bold">
    <w:name w:val="Indent 4-Bold"/>
    <w:basedOn w:val="Indent4"/>
    <w:rsid w:val="00F53AF5"/>
    <w:pPr>
      <w:keepNext/>
    </w:pPr>
    <w:rPr>
      <w:b/>
    </w:rPr>
  </w:style>
  <w:style w:type="paragraph" w:customStyle="1" w:styleId="Indent3-Bold">
    <w:name w:val="Indent 3 - Bold"/>
    <w:basedOn w:val="Indent3"/>
    <w:rsid w:val="00F53AF5"/>
    <w:pPr>
      <w:keepNext/>
    </w:pPr>
    <w:rPr>
      <w:b/>
    </w:rPr>
  </w:style>
  <w:style w:type="paragraph" w:customStyle="1" w:styleId="Heading211pt">
    <w:name w:val="Heading 2 + 11 pt"/>
    <w:aliases w:val="Not Bold,Not Italic,Before:  6 pt,After:  0 pt"/>
    <w:basedOn w:val="Heading2"/>
    <w:rsid w:val="000352BE"/>
    <w:pPr>
      <w:tabs>
        <w:tab w:val="clear" w:pos="900"/>
        <w:tab w:val="left" w:pos="1080"/>
      </w:tabs>
      <w:ind w:left="1080"/>
      <w:contextualSpacing w:val="0"/>
    </w:pPr>
    <w:rPr>
      <w:rFonts w:ascii="Arial" w:hAnsi="Arial" w:cs="Arial"/>
      <w:b w:val="0"/>
      <w:smallCaps w:val="0"/>
    </w:rPr>
  </w:style>
  <w:style w:type="paragraph" w:customStyle="1" w:styleId="Indent0">
    <w:name w:val="Indent 0"/>
    <w:basedOn w:val="Normal"/>
    <w:link w:val="Indent0Char"/>
    <w:rsid w:val="000352BE"/>
    <w:pPr>
      <w:spacing w:before="240"/>
    </w:pPr>
    <w:rPr>
      <w:rFonts w:ascii="Arial" w:hAnsi="Arial" w:cs="Arial"/>
      <w:sz w:val="22"/>
      <w:szCs w:val="22"/>
    </w:rPr>
  </w:style>
  <w:style w:type="character" w:customStyle="1" w:styleId="Indent0Char">
    <w:name w:val="Indent 0 Char"/>
    <w:link w:val="Indent0"/>
    <w:rsid w:val="000352BE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Indent11">
    <w:name w:val="Indent 1.1"/>
    <w:basedOn w:val="Indent0"/>
    <w:rsid w:val="000352BE"/>
    <w:pPr>
      <w:spacing w:before="120"/>
      <w:ind w:left="360"/>
    </w:pPr>
  </w:style>
  <w:style w:type="paragraph" w:customStyle="1" w:styleId="Indent12">
    <w:name w:val="Indent 1.2"/>
    <w:basedOn w:val="Indent11"/>
    <w:rsid w:val="000352BE"/>
    <w:pPr>
      <w:spacing w:before="240"/>
    </w:pPr>
  </w:style>
  <w:style w:type="paragraph" w:customStyle="1" w:styleId="List1">
    <w:name w:val="List 1"/>
    <w:basedOn w:val="Normal"/>
    <w:rsid w:val="004E21EF"/>
    <w:pPr>
      <w:tabs>
        <w:tab w:val="left" w:leader="dot" w:pos="7380"/>
      </w:tabs>
      <w:spacing w:after="40"/>
      <w:ind w:left="540" w:right="-360"/>
    </w:pPr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A7AFD"/>
    <w:rPr>
      <w:rFonts w:ascii="Courier New" w:eastAsia="Batang" w:hAnsi="Courier New" w:cs="Courier New"/>
      <w:lang w:eastAsia="ko-KR"/>
    </w:rPr>
  </w:style>
  <w:style w:type="character" w:customStyle="1" w:styleId="PlainTextChar">
    <w:name w:val="Plain Text Char"/>
    <w:link w:val="PlainText"/>
    <w:uiPriority w:val="99"/>
    <w:rsid w:val="00853291"/>
    <w:rPr>
      <w:rFonts w:ascii="Courier New" w:eastAsia="Batang" w:hAnsi="Courier New" w:cs="Courier New"/>
      <w:lang w:eastAsia="ko-KR"/>
    </w:rPr>
  </w:style>
  <w:style w:type="character" w:styleId="Emphasis">
    <w:name w:val="Emphasis"/>
    <w:uiPriority w:val="20"/>
    <w:qFormat/>
    <w:rsid w:val="00572C83"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38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138A1"/>
    <w:rPr>
      <w:sz w:val="16"/>
      <w:szCs w:val="16"/>
    </w:rPr>
  </w:style>
  <w:style w:type="table" w:styleId="TableGrid">
    <w:name w:val="Table Grid"/>
    <w:basedOn w:val="TableNormal"/>
    <w:rsid w:val="0001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31537E"/>
    <w:rPr>
      <w:color w:val="800080"/>
      <w:u w:val="single"/>
    </w:rPr>
  </w:style>
  <w:style w:type="paragraph" w:customStyle="1" w:styleId="NumberedList">
    <w:name w:val="Numbered List"/>
    <w:basedOn w:val="Normal"/>
    <w:uiPriority w:val="5"/>
    <w:qFormat/>
    <w:rsid w:val="001B00F9"/>
    <w:pPr>
      <w:numPr>
        <w:numId w:val="12"/>
      </w:numPr>
      <w:spacing w:before="120" w:line="260" w:lineRule="exact"/>
    </w:pPr>
    <w:rPr>
      <w:rFonts w:ascii="Verdana" w:eastAsia="Calibri" w:hAnsi="Verdana"/>
      <w:sz w:val="22"/>
      <w:szCs w:val="22"/>
    </w:rPr>
  </w:style>
  <w:style w:type="paragraph" w:customStyle="1" w:styleId="DocumentTitle">
    <w:name w:val="Document Title"/>
    <w:basedOn w:val="Normal"/>
    <w:uiPriority w:val="6"/>
    <w:qFormat/>
    <w:rsid w:val="001B00F9"/>
    <w:pPr>
      <w:autoSpaceDE w:val="0"/>
      <w:autoSpaceDN w:val="0"/>
      <w:adjustRightInd w:val="0"/>
      <w:spacing w:after="360" w:line="360" w:lineRule="exact"/>
    </w:pPr>
    <w:rPr>
      <w:rFonts w:ascii="Verdana" w:eastAsia="Calibri" w:hAnsi="Verdan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E4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465F"/>
  </w:style>
  <w:style w:type="paragraph" w:customStyle="1" w:styleId="TableParagraph">
    <w:name w:val="Table Paragraph"/>
    <w:basedOn w:val="Normal"/>
    <w:uiPriority w:val="1"/>
    <w:qFormat/>
    <w:rsid w:val="000E465F"/>
    <w:pPr>
      <w:widowControl w:val="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qFormat/>
    <w:rsid w:val="00180D38"/>
    <w:pPr>
      <w:keepNext/>
      <w:numPr>
        <w:numId w:val="3"/>
      </w:numPr>
      <w:tabs>
        <w:tab w:val="left" w:pos="720"/>
      </w:tabs>
      <w:spacing w:before="240" w:after="0"/>
      <w:outlineLvl w:val="0"/>
    </w:pPr>
    <w:rPr>
      <w:rFonts w:ascii="Times New Roman" w:hAnsi="Times New Roman"/>
      <w:b/>
      <w:smallCaps/>
      <w:kern w:val="32"/>
      <w:sz w:val="24"/>
      <w:szCs w:val="24"/>
    </w:rPr>
  </w:style>
  <w:style w:type="paragraph" w:styleId="Heading2">
    <w:name w:val="heading 2"/>
    <w:basedOn w:val="ListParagraph"/>
    <w:next w:val="Normal"/>
    <w:qFormat/>
    <w:rsid w:val="00096BA9"/>
    <w:pPr>
      <w:keepNext/>
      <w:numPr>
        <w:ilvl w:val="1"/>
        <w:numId w:val="3"/>
      </w:numPr>
      <w:tabs>
        <w:tab w:val="left" w:pos="900"/>
      </w:tabs>
      <w:spacing w:before="240" w:after="0"/>
      <w:outlineLvl w:val="1"/>
    </w:pPr>
    <w:rPr>
      <w:rFonts w:ascii="Times New Roman" w:hAnsi="Times New Roman"/>
      <w:b/>
      <w:smallCaps/>
    </w:rPr>
  </w:style>
  <w:style w:type="paragraph" w:styleId="Heading3">
    <w:name w:val="heading 3"/>
    <w:basedOn w:val="Normal"/>
    <w:next w:val="Normal"/>
    <w:qFormat/>
    <w:rsid w:val="008D7B93"/>
    <w:pPr>
      <w:keepNext/>
      <w:numPr>
        <w:ilvl w:val="2"/>
        <w:numId w:val="3"/>
      </w:numPr>
      <w:tabs>
        <w:tab w:val="left" w:pos="1440"/>
      </w:tabs>
      <w:spacing w:before="240" w:after="6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5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Heading1"/>
    <w:link w:val="HeaderChar"/>
    <w:rsid w:val="00522537"/>
    <w:pPr>
      <w:numPr>
        <w:numId w:val="0"/>
      </w:numPr>
    </w:pPr>
    <w:rPr>
      <w:sz w:val="28"/>
      <w:szCs w:val="28"/>
    </w:rPr>
  </w:style>
  <w:style w:type="character" w:customStyle="1" w:styleId="HeaderChar">
    <w:name w:val="Header Char"/>
    <w:link w:val="Header"/>
    <w:locked/>
    <w:rsid w:val="00522537"/>
    <w:rPr>
      <w:b/>
      <w:smallCaps/>
      <w:kern w:val="32"/>
      <w:sz w:val="28"/>
      <w:szCs w:val="28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Revision">
    <w:name w:val="Revision"/>
    <w:hidden/>
    <w:uiPriority w:val="99"/>
    <w:semiHidden/>
    <w:rsid w:val="008717FF"/>
  </w:style>
  <w:style w:type="paragraph" w:styleId="BalloonText">
    <w:name w:val="Balloon Text"/>
    <w:basedOn w:val="Normal"/>
    <w:link w:val="BalloonTextChar"/>
    <w:uiPriority w:val="99"/>
    <w:semiHidden/>
    <w:unhideWhenUsed/>
    <w:rsid w:val="00871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17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F15B5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 1"/>
    <w:basedOn w:val="Normal"/>
    <w:rsid w:val="00B81903"/>
    <w:pPr>
      <w:spacing w:before="240"/>
    </w:pPr>
    <w:rPr>
      <w:sz w:val="22"/>
    </w:rPr>
  </w:style>
  <w:style w:type="paragraph" w:customStyle="1" w:styleId="Indent2">
    <w:name w:val="Indent 2"/>
    <w:basedOn w:val="Normal"/>
    <w:link w:val="Indent2Char"/>
    <w:rsid w:val="00F53AF5"/>
    <w:pPr>
      <w:spacing w:before="240"/>
      <w:ind w:left="180"/>
    </w:pPr>
    <w:rPr>
      <w:sz w:val="22"/>
    </w:rPr>
  </w:style>
  <w:style w:type="character" w:customStyle="1" w:styleId="Indent2Char">
    <w:name w:val="Indent 2 Char"/>
    <w:link w:val="Indent2"/>
    <w:rsid w:val="00F53AF5"/>
    <w:rPr>
      <w:sz w:val="22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1942AB"/>
    <w:pPr>
      <w:keepNext/>
      <w:numPr>
        <w:numId w:val="4"/>
      </w:numPr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B540F3"/>
    <w:pPr>
      <w:keepNext/>
      <w:ind w:left="540"/>
    </w:pPr>
    <w:rPr>
      <w:b/>
      <w:sz w:val="22"/>
      <w:szCs w:val="22"/>
    </w:rPr>
  </w:style>
  <w:style w:type="paragraph" w:customStyle="1" w:styleId="StyleTOC211ptBold">
    <w:name w:val="Style TOC 2 + 11 pt Bold"/>
    <w:basedOn w:val="TOC1"/>
    <w:rsid w:val="00A878F1"/>
  </w:style>
  <w:style w:type="paragraph" w:customStyle="1" w:styleId="Annex">
    <w:name w:val="Annex"/>
    <w:basedOn w:val="List"/>
    <w:link w:val="AnnexChar"/>
    <w:rsid w:val="007A5AE9"/>
    <w:pPr>
      <w:numPr>
        <w:numId w:val="6"/>
      </w:numPr>
    </w:pPr>
    <w:rPr>
      <w:b/>
      <w:sz w:val="24"/>
      <w:szCs w:val="24"/>
    </w:rPr>
  </w:style>
  <w:style w:type="paragraph" w:styleId="List">
    <w:name w:val="List"/>
    <w:basedOn w:val="Normal"/>
    <w:link w:val="ListChar"/>
    <w:rsid w:val="00A878F1"/>
    <w:pPr>
      <w:ind w:left="360" w:hanging="360"/>
    </w:pPr>
  </w:style>
  <w:style w:type="character" w:customStyle="1" w:styleId="ListChar">
    <w:name w:val="List Char"/>
    <w:link w:val="List"/>
    <w:rsid w:val="007A5AE9"/>
    <w:rPr>
      <w:lang w:val="en-US" w:eastAsia="en-US" w:bidi="ar-SA"/>
    </w:rPr>
  </w:style>
  <w:style w:type="character" w:customStyle="1" w:styleId="AnnexChar">
    <w:name w:val="Annex Char"/>
    <w:link w:val="Annex"/>
    <w:rsid w:val="007A5AE9"/>
    <w:rPr>
      <w:b/>
      <w:sz w:val="24"/>
      <w:szCs w:val="24"/>
    </w:rPr>
  </w:style>
  <w:style w:type="paragraph" w:customStyle="1" w:styleId="TOCAnnex">
    <w:name w:val="TOC Annex"/>
    <w:basedOn w:val="Annex"/>
    <w:rsid w:val="00795CE5"/>
    <w:pPr>
      <w:numPr>
        <w:numId w:val="5"/>
      </w:numPr>
    </w:pPr>
    <w:rPr>
      <w:b w:val="0"/>
      <w:sz w:val="22"/>
      <w:szCs w:val="22"/>
    </w:rPr>
  </w:style>
  <w:style w:type="character" w:styleId="Hyperlink">
    <w:name w:val="Hyperlink"/>
    <w:uiPriority w:val="99"/>
    <w:rsid w:val="00596702"/>
    <w:rPr>
      <w:color w:val="0000FF"/>
      <w:u w:val="single"/>
    </w:rPr>
  </w:style>
  <w:style w:type="paragraph" w:styleId="BodyText3">
    <w:name w:val="Body Text 3"/>
    <w:basedOn w:val="Normal"/>
    <w:rsid w:val="00596702"/>
    <w:pPr>
      <w:autoSpaceDE w:val="0"/>
      <w:autoSpaceDN w:val="0"/>
      <w:adjustRightInd w:val="0"/>
    </w:pPr>
    <w:rPr>
      <w:color w:val="000000"/>
      <w:sz w:val="24"/>
    </w:rPr>
  </w:style>
  <w:style w:type="character" w:styleId="Strong">
    <w:name w:val="Strong"/>
    <w:uiPriority w:val="22"/>
    <w:qFormat/>
    <w:rsid w:val="00596702"/>
    <w:rPr>
      <w:b/>
    </w:rPr>
  </w:style>
  <w:style w:type="paragraph" w:customStyle="1" w:styleId="Indent3">
    <w:name w:val="Indent 3"/>
    <w:basedOn w:val="Indent2"/>
    <w:link w:val="Indent3Char"/>
    <w:rsid w:val="00F53AF5"/>
    <w:pPr>
      <w:spacing w:before="120"/>
      <w:ind w:left="360"/>
    </w:pPr>
  </w:style>
  <w:style w:type="character" w:customStyle="1" w:styleId="Indent3Char">
    <w:name w:val="Indent 3 Char"/>
    <w:basedOn w:val="Indent2Char"/>
    <w:link w:val="Indent3"/>
    <w:rsid w:val="00F53AF5"/>
    <w:rPr>
      <w:sz w:val="22"/>
      <w:lang w:val="en-US" w:eastAsia="en-US" w:bidi="ar-SA"/>
    </w:rPr>
  </w:style>
  <w:style w:type="paragraph" w:customStyle="1" w:styleId="Indent4">
    <w:name w:val="Indent 4"/>
    <w:basedOn w:val="Indent3"/>
    <w:rsid w:val="00F53AF5"/>
    <w:pPr>
      <w:ind w:left="540"/>
    </w:pPr>
    <w:rPr>
      <w:bCs/>
      <w:color w:val="1A1A1A"/>
      <w:szCs w:val="23"/>
      <w:lang w:val="en-GB"/>
    </w:rPr>
  </w:style>
  <w:style w:type="paragraph" w:customStyle="1" w:styleId="StyleTOC2Before12pt">
    <w:name w:val="Style TOC 2 + Before:  12 pt"/>
    <w:basedOn w:val="TOC2"/>
    <w:rsid w:val="00841859"/>
    <w:pPr>
      <w:spacing w:before="240"/>
    </w:pPr>
    <w:rPr>
      <w:bCs/>
      <w:szCs w:val="20"/>
    </w:rPr>
  </w:style>
  <w:style w:type="paragraph" w:customStyle="1" w:styleId="Default">
    <w:name w:val="Default"/>
    <w:rsid w:val="003A5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dent4-Bold">
    <w:name w:val="Indent 4-Bold"/>
    <w:basedOn w:val="Indent4"/>
    <w:rsid w:val="00F53AF5"/>
    <w:pPr>
      <w:keepNext/>
    </w:pPr>
    <w:rPr>
      <w:b/>
    </w:rPr>
  </w:style>
  <w:style w:type="paragraph" w:customStyle="1" w:styleId="Indent3-Bold">
    <w:name w:val="Indent 3 - Bold"/>
    <w:basedOn w:val="Indent3"/>
    <w:rsid w:val="00F53AF5"/>
    <w:pPr>
      <w:keepNext/>
    </w:pPr>
    <w:rPr>
      <w:b/>
    </w:rPr>
  </w:style>
  <w:style w:type="paragraph" w:customStyle="1" w:styleId="Heading211pt">
    <w:name w:val="Heading 2 + 11 pt"/>
    <w:aliases w:val="Not Bold,Not Italic,Before:  6 pt,After:  0 pt"/>
    <w:basedOn w:val="Heading2"/>
    <w:rsid w:val="000352BE"/>
    <w:pPr>
      <w:tabs>
        <w:tab w:val="clear" w:pos="900"/>
        <w:tab w:val="left" w:pos="1080"/>
      </w:tabs>
      <w:ind w:left="1080"/>
      <w:contextualSpacing w:val="0"/>
    </w:pPr>
    <w:rPr>
      <w:rFonts w:ascii="Arial" w:hAnsi="Arial" w:cs="Arial"/>
      <w:b w:val="0"/>
      <w:smallCaps w:val="0"/>
    </w:rPr>
  </w:style>
  <w:style w:type="paragraph" w:customStyle="1" w:styleId="Indent0">
    <w:name w:val="Indent 0"/>
    <w:basedOn w:val="Normal"/>
    <w:link w:val="Indent0Char"/>
    <w:rsid w:val="000352BE"/>
    <w:pPr>
      <w:spacing w:before="240"/>
    </w:pPr>
    <w:rPr>
      <w:rFonts w:ascii="Arial" w:hAnsi="Arial" w:cs="Arial"/>
      <w:sz w:val="22"/>
      <w:szCs w:val="22"/>
    </w:rPr>
  </w:style>
  <w:style w:type="character" w:customStyle="1" w:styleId="Indent0Char">
    <w:name w:val="Indent 0 Char"/>
    <w:link w:val="Indent0"/>
    <w:rsid w:val="000352BE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Indent11">
    <w:name w:val="Indent 1.1"/>
    <w:basedOn w:val="Indent0"/>
    <w:rsid w:val="000352BE"/>
    <w:pPr>
      <w:spacing w:before="120"/>
      <w:ind w:left="360"/>
    </w:pPr>
  </w:style>
  <w:style w:type="paragraph" w:customStyle="1" w:styleId="Indent12">
    <w:name w:val="Indent 1.2"/>
    <w:basedOn w:val="Indent11"/>
    <w:rsid w:val="000352BE"/>
    <w:pPr>
      <w:spacing w:before="240"/>
    </w:pPr>
  </w:style>
  <w:style w:type="paragraph" w:customStyle="1" w:styleId="List1">
    <w:name w:val="List 1"/>
    <w:basedOn w:val="Normal"/>
    <w:rsid w:val="004E21EF"/>
    <w:pPr>
      <w:tabs>
        <w:tab w:val="left" w:leader="dot" w:pos="7380"/>
      </w:tabs>
      <w:spacing w:after="40"/>
      <w:ind w:left="540" w:right="-360"/>
    </w:pPr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A7AFD"/>
    <w:rPr>
      <w:rFonts w:ascii="Courier New" w:eastAsia="Batang" w:hAnsi="Courier New" w:cs="Courier New"/>
      <w:lang w:eastAsia="ko-KR"/>
    </w:rPr>
  </w:style>
  <w:style w:type="character" w:customStyle="1" w:styleId="PlainTextChar">
    <w:name w:val="Plain Text Char"/>
    <w:link w:val="PlainText"/>
    <w:uiPriority w:val="99"/>
    <w:rsid w:val="00853291"/>
    <w:rPr>
      <w:rFonts w:ascii="Courier New" w:eastAsia="Batang" w:hAnsi="Courier New" w:cs="Courier New"/>
      <w:lang w:eastAsia="ko-KR"/>
    </w:rPr>
  </w:style>
  <w:style w:type="character" w:styleId="Emphasis">
    <w:name w:val="Emphasis"/>
    <w:uiPriority w:val="20"/>
    <w:qFormat/>
    <w:rsid w:val="00572C83"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38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138A1"/>
    <w:rPr>
      <w:sz w:val="16"/>
      <w:szCs w:val="16"/>
    </w:rPr>
  </w:style>
  <w:style w:type="table" w:styleId="TableGrid">
    <w:name w:val="Table Grid"/>
    <w:basedOn w:val="TableNormal"/>
    <w:rsid w:val="0001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31537E"/>
    <w:rPr>
      <w:color w:val="800080"/>
      <w:u w:val="single"/>
    </w:rPr>
  </w:style>
  <w:style w:type="paragraph" w:customStyle="1" w:styleId="NumberedList">
    <w:name w:val="Numbered List"/>
    <w:basedOn w:val="Normal"/>
    <w:uiPriority w:val="5"/>
    <w:qFormat/>
    <w:rsid w:val="001B00F9"/>
    <w:pPr>
      <w:numPr>
        <w:numId w:val="12"/>
      </w:numPr>
      <w:spacing w:before="120" w:line="260" w:lineRule="exact"/>
    </w:pPr>
    <w:rPr>
      <w:rFonts w:ascii="Verdana" w:eastAsia="Calibri" w:hAnsi="Verdana"/>
      <w:sz w:val="22"/>
      <w:szCs w:val="22"/>
    </w:rPr>
  </w:style>
  <w:style w:type="paragraph" w:customStyle="1" w:styleId="DocumentTitle">
    <w:name w:val="Document Title"/>
    <w:basedOn w:val="Normal"/>
    <w:uiPriority w:val="6"/>
    <w:qFormat/>
    <w:rsid w:val="001B00F9"/>
    <w:pPr>
      <w:autoSpaceDE w:val="0"/>
      <w:autoSpaceDN w:val="0"/>
      <w:adjustRightInd w:val="0"/>
      <w:spacing w:after="360" w:line="360" w:lineRule="exact"/>
    </w:pPr>
    <w:rPr>
      <w:rFonts w:ascii="Verdana" w:eastAsia="Calibri" w:hAnsi="Verdan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E4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465F"/>
  </w:style>
  <w:style w:type="paragraph" w:customStyle="1" w:styleId="TableParagraph">
    <w:name w:val="Table Paragraph"/>
    <w:basedOn w:val="Normal"/>
    <w:uiPriority w:val="1"/>
    <w:qFormat/>
    <w:rsid w:val="000E465F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7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7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8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7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7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59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14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8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8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3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43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04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86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05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5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16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53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8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6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9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0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2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7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1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7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1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2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0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8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2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63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3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6945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5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.proetto@iee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eee-p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9703-46E5-44CC-95B2-46E5361A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General Session</vt:lpstr>
    </vt:vector>
  </TitlesOfParts>
  <Company>Microsoft</Company>
  <LinksUpToDate>false</LinksUpToDate>
  <CharactersWithSpaces>5538</CharactersWithSpaces>
  <SharedDoc>false</SharedDoc>
  <HLinks>
    <vt:vector size="114" baseType="variant">
      <vt:variant>
        <vt:i4>3473465</vt:i4>
      </vt:variant>
      <vt:variant>
        <vt:i4>54</vt:i4>
      </vt:variant>
      <vt:variant>
        <vt:i4>0</vt:i4>
      </vt:variant>
      <vt:variant>
        <vt:i4>5</vt:i4>
      </vt:variant>
      <vt:variant>
        <vt:lpwstr>http://mchelp.manuscriptcentral.com/gethelpnow/training/author/</vt:lpwstr>
      </vt:variant>
      <vt:variant>
        <vt:lpwstr/>
      </vt:variant>
      <vt:variant>
        <vt:i4>1835099</vt:i4>
      </vt:variant>
      <vt:variant>
        <vt:i4>51</vt:i4>
      </vt:variant>
      <vt:variant>
        <vt:i4>0</vt:i4>
      </vt:variant>
      <vt:variant>
        <vt:i4>5</vt:i4>
      </vt:variant>
      <vt:variant>
        <vt:lpwstr>http://www.ieee-pes.org/</vt:lpwstr>
      </vt:variant>
      <vt:variant>
        <vt:lpwstr/>
      </vt:variant>
      <vt:variant>
        <vt:i4>1048619</vt:i4>
      </vt:variant>
      <vt:variant>
        <vt:i4>48</vt:i4>
      </vt:variant>
      <vt:variant>
        <vt:i4>0</vt:i4>
      </vt:variant>
      <vt:variant>
        <vt:i4>5</vt:i4>
      </vt:variant>
      <vt:variant>
        <vt:lpwstr>http://www.ieee.org/membership_services/membership/fellows/index.html</vt:lpwstr>
      </vt:variant>
      <vt:variant>
        <vt:lpwstr/>
      </vt:variant>
      <vt:variant>
        <vt:i4>8192111</vt:i4>
      </vt:variant>
      <vt:variant>
        <vt:i4>45</vt:i4>
      </vt:variant>
      <vt:variant>
        <vt:i4>0</vt:i4>
      </vt:variant>
      <vt:variant>
        <vt:i4>5</vt:i4>
      </vt:variant>
      <vt:variant>
        <vt:lpwstr>http://www.ieee.org/membership_services/membership/senior/senior_requirements.html</vt:lpwstr>
      </vt:variant>
      <vt:variant>
        <vt:lpwstr/>
      </vt:variant>
      <vt:variant>
        <vt:i4>4128872</vt:i4>
      </vt:variant>
      <vt:variant>
        <vt:i4>42</vt:i4>
      </vt:variant>
      <vt:variant>
        <vt:i4>0</vt:i4>
      </vt:variant>
      <vt:variant>
        <vt:i4>5</vt:i4>
      </vt:variant>
      <vt:variant>
        <vt:lpwstr>https://standards.ieee.org/develop/policies/stdslaw.pdf</vt:lpwstr>
      </vt:variant>
      <vt:variant>
        <vt:lpwstr/>
      </vt:variant>
      <vt:variant>
        <vt:i4>5177357</vt:i4>
      </vt:variant>
      <vt:variant>
        <vt:i4>39</vt:i4>
      </vt:variant>
      <vt:variant>
        <vt:i4>0</vt:i4>
      </vt:variant>
      <vt:variant>
        <vt:i4>5</vt:i4>
      </vt:variant>
      <vt:variant>
        <vt:lpwstr>http://sites.ieee.org/pes-enews/2015/04/10/leaders-corner-reorganization/</vt:lpwstr>
      </vt:variant>
      <vt:variant>
        <vt:lpwstr/>
      </vt:variant>
      <vt:variant>
        <vt:i4>3407998</vt:i4>
      </vt:variant>
      <vt:variant>
        <vt:i4>36</vt:i4>
      </vt:variant>
      <vt:variant>
        <vt:i4>0</vt:i4>
      </vt:variant>
      <vt:variant>
        <vt:i4>5</vt:i4>
      </vt:variant>
      <vt:variant>
        <vt:lpwstr>http://sites.ieee.org/pes-enews/2015/02/10/leaders-corner/</vt:lpwstr>
      </vt:variant>
      <vt:variant>
        <vt:lpwstr/>
      </vt:variant>
      <vt:variant>
        <vt:i4>6094865</vt:i4>
      </vt:variant>
      <vt:variant>
        <vt:i4>33</vt:i4>
      </vt:variant>
      <vt:variant>
        <vt:i4>0</vt:i4>
      </vt:variant>
      <vt:variant>
        <vt:i4>5</vt:i4>
      </vt:variant>
      <vt:variant>
        <vt:lpwstr>http://www.ieee-pes.org/images/files/pdf/technical-council/TC Committee Structure 01-2015.pdf</vt:lpwstr>
      </vt:variant>
      <vt:variant>
        <vt:lpwstr/>
      </vt:variant>
      <vt:variant>
        <vt:i4>5242944</vt:i4>
      </vt:variant>
      <vt:variant>
        <vt:i4>30</vt:i4>
      </vt:variant>
      <vt:variant>
        <vt:i4>0</vt:i4>
      </vt:variant>
      <vt:variant>
        <vt:i4>5</vt:i4>
      </vt:variant>
      <vt:variant>
        <vt:lpwstr>http://www.ieee-pes.org/images/files/pdf/Smart_Buildings_Loads_and_Customer_Systems_2015-0802.pdf</vt:lpwstr>
      </vt:variant>
      <vt:variant>
        <vt:lpwstr/>
      </vt:variant>
      <vt:variant>
        <vt:i4>6684740</vt:i4>
      </vt:variant>
      <vt:variant>
        <vt:i4>27</vt:i4>
      </vt:variant>
      <vt:variant>
        <vt:i4>0</vt:i4>
      </vt:variant>
      <vt:variant>
        <vt:i4>5</vt:i4>
      </vt:variant>
      <vt:variant>
        <vt:lpwstr>http://www.ieee-pes.org/images/files/pdf/Power_System_Communications_and_CyberSecurity_2015-0802.pdf</vt:lpwstr>
      </vt:variant>
      <vt:variant>
        <vt:lpwstr/>
      </vt:variant>
      <vt:variant>
        <vt:i4>3211275</vt:i4>
      </vt:variant>
      <vt:variant>
        <vt:i4>24</vt:i4>
      </vt:variant>
      <vt:variant>
        <vt:i4>0</vt:i4>
      </vt:variant>
      <vt:variant>
        <vt:i4>5</vt:i4>
      </vt:variant>
      <vt:variant>
        <vt:lpwstr>http://www.ieee-pes.org/images/files/pdf/Energy_Development_and_Power_Generation_2015-0802.pdf</vt:lpwstr>
      </vt:variant>
      <vt:variant>
        <vt:lpwstr/>
      </vt:variant>
      <vt:variant>
        <vt:i4>7471174</vt:i4>
      </vt:variant>
      <vt:variant>
        <vt:i4>21</vt:i4>
      </vt:variant>
      <vt:variant>
        <vt:i4>0</vt:i4>
      </vt:variant>
      <vt:variant>
        <vt:i4>5</vt:i4>
      </vt:variant>
      <vt:variant>
        <vt:lpwstr>http://www.ieee-pes.org/images/files/pdf/Energy_Storage_and_Stationary_Battery_2015-0802.pdf</vt:lpwstr>
      </vt:variant>
      <vt:variant>
        <vt:lpwstr/>
      </vt:variant>
      <vt:variant>
        <vt:i4>4325493</vt:i4>
      </vt:variant>
      <vt:variant>
        <vt:i4>18</vt:i4>
      </vt:variant>
      <vt:variant>
        <vt:i4>0</vt:i4>
      </vt:variant>
      <vt:variant>
        <vt:i4>5</vt:i4>
      </vt:variant>
      <vt:variant>
        <vt:lpwstr>http://www.ieee-pes.org/images/files/pdf/Power_System_Operation_Planning_Economics_2015-0802.pdf</vt:lpwstr>
      </vt:variant>
      <vt:variant>
        <vt:lpwstr/>
      </vt:variant>
      <vt:variant>
        <vt:i4>2949150</vt:i4>
      </vt:variant>
      <vt:variant>
        <vt:i4>15</vt:i4>
      </vt:variant>
      <vt:variant>
        <vt:i4>0</vt:i4>
      </vt:variant>
      <vt:variant>
        <vt:i4>5</vt:i4>
      </vt:variant>
      <vt:variant>
        <vt:lpwstr>http://www.ieee-pes.org/images/files/pdf/Analytical_Methods_in_Power_Systems_2015-0802.pdf</vt:lpwstr>
      </vt:variant>
      <vt:variant>
        <vt:lpwstr/>
      </vt:variant>
      <vt:variant>
        <vt:i4>7405681</vt:i4>
      </vt:variant>
      <vt:variant>
        <vt:i4>12</vt:i4>
      </vt:variant>
      <vt:variant>
        <vt:i4>0</vt:i4>
      </vt:variant>
      <vt:variant>
        <vt:i4>5</vt:i4>
      </vt:variant>
      <vt:variant>
        <vt:lpwstr>http://www.ieee-pes.org/images/files/pdf/Technical_Committee_Structure_Overview_2015-0802.pdf</vt:lpwstr>
      </vt:variant>
      <vt:variant>
        <vt:lpwstr/>
      </vt:variant>
      <vt:variant>
        <vt:i4>7405684</vt:i4>
      </vt:variant>
      <vt:variant>
        <vt:i4>9</vt:i4>
      </vt:variant>
      <vt:variant>
        <vt:i4>0</vt:i4>
      </vt:variant>
      <vt:variant>
        <vt:i4>5</vt:i4>
      </vt:variant>
      <vt:variant>
        <vt:lpwstr>http://resourcecenter.ieee-pes.org/conferences/2015-gm-town-hall-video/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http://www.pes-gm.org/2015/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http://www.ieee-pes.org/images/files/pdf/2015-08-15-PES-TC-Scopes-of-Operations.pdf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http://www.ieee-pes.org/statement-of-purpose-and-scope-of-activities-for-the-pes-technical-council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General Session</dc:title>
  <dc:creator>Greg Anderson</dc:creator>
  <cp:lastModifiedBy>Susan McNelly</cp:lastModifiedBy>
  <cp:revision>8</cp:revision>
  <cp:lastPrinted>2016-03-08T02:13:00Z</cp:lastPrinted>
  <dcterms:created xsi:type="dcterms:W3CDTF">2016-03-08T02:04:00Z</dcterms:created>
  <dcterms:modified xsi:type="dcterms:W3CDTF">2016-03-17T10:37:00Z</dcterms:modified>
</cp:coreProperties>
</file>