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FCD2A" w14:textId="77777777" w:rsidR="00AA6B53" w:rsidRPr="00A0715A" w:rsidRDefault="007C4AD8" w:rsidP="00B5257C">
      <w:pPr>
        <w:pStyle w:val="Heading1"/>
      </w:pPr>
      <w:r>
        <w:t>Vice</w:t>
      </w:r>
      <w:r w:rsidR="004C6C0F">
        <w:t xml:space="preserve"> </w:t>
      </w:r>
      <w:r w:rsidR="00AA6B53" w:rsidRPr="00A0715A">
        <w:t xml:space="preserve">Chair’s Report – </w:t>
      </w:r>
      <w:r w:rsidR="00960621">
        <w:t>Bruce Forsyth</w:t>
      </w:r>
    </w:p>
    <w:p w14:paraId="625EA67D" w14:textId="77777777" w:rsidR="00F723F8" w:rsidRPr="00A0715A" w:rsidRDefault="00F723F8" w:rsidP="00DD4CF3">
      <w:r w:rsidRPr="00A0715A">
        <w:t xml:space="preserve">The </w:t>
      </w:r>
      <w:r w:rsidR="007C4AD8">
        <w:t>Vice-</w:t>
      </w:r>
      <w:r w:rsidRPr="00A0715A">
        <w:t>Chair’s Report was presented at the Monday General Session.</w:t>
      </w:r>
    </w:p>
    <w:p w14:paraId="6425E844" w14:textId="77777777" w:rsidR="00D23222" w:rsidRDefault="007C4AD8" w:rsidP="00B5257C">
      <w:pPr>
        <w:pStyle w:val="Heading2"/>
      </w:pPr>
      <w:r w:rsidRPr="007C4AD8">
        <w:t>IEEE PES Calendar of Upcoming Events</w:t>
      </w:r>
    </w:p>
    <w:p w14:paraId="1D4C7742" w14:textId="77777777" w:rsidR="007C4AD8" w:rsidRPr="00BE2388" w:rsidRDefault="007C4AD8" w:rsidP="00C87DBB">
      <w:r w:rsidRPr="00BE2388">
        <w:t xml:space="preserve">The following are upcoming PES sponsored conferences and committee meetings.  Please check the PES website at </w:t>
      </w:r>
      <w:hyperlink r:id="rId8" w:history="1">
        <w:r w:rsidRPr="00BE2388">
          <w:rPr>
            <w:rStyle w:val="Hyperlink"/>
            <w:szCs w:val="22"/>
          </w:rPr>
          <w:t>www.ieee-pes.org</w:t>
        </w:r>
      </w:hyperlink>
      <w:r w:rsidRPr="00BE2388">
        <w:t xml:space="preserve"> for further details, and additional events.</w:t>
      </w:r>
    </w:p>
    <w:p w14:paraId="0F2DA970" w14:textId="7E69B444" w:rsidR="001A6B70" w:rsidRPr="00E13F9C" w:rsidRDefault="00604DE9" w:rsidP="00E13F9C">
      <w:pPr>
        <w:pStyle w:val="ListParagraph"/>
        <w:numPr>
          <w:ilvl w:val="0"/>
          <w:numId w:val="28"/>
        </w:numPr>
        <w:spacing w:after="0" w:line="240" w:lineRule="auto"/>
        <w:rPr>
          <w:rFonts w:ascii="Times New Roman" w:hAnsi="Times New Roman"/>
          <w:bCs/>
        </w:rPr>
      </w:pPr>
      <w:hyperlink r:id="rId9" w:history="1">
        <w:r w:rsidR="00AC4902" w:rsidRPr="00E13F9C">
          <w:rPr>
            <w:rStyle w:val="Hyperlink"/>
            <w:rFonts w:ascii="Times New Roman" w:hAnsi="Times New Roman"/>
          </w:rPr>
          <w:t>2018 IEEE PES Transmission and Distribution Conference and Exposition</w:t>
        </w:r>
      </w:hyperlink>
      <w:r w:rsidR="00AC4902" w:rsidRPr="00E13F9C">
        <w:rPr>
          <w:rStyle w:val="Hyperlink"/>
          <w:rFonts w:ascii="Times New Roman" w:hAnsi="Times New Roman"/>
        </w:rPr>
        <w:br/>
      </w:r>
      <w:r w:rsidR="0014267B" w:rsidRPr="00E13F9C">
        <w:rPr>
          <w:rFonts w:ascii="Times New Roman" w:hAnsi="Times New Roman"/>
          <w:iCs/>
        </w:rPr>
        <w:t xml:space="preserve">April 16 </w:t>
      </w:r>
      <w:r w:rsidR="00B67B37" w:rsidRPr="00E13F9C">
        <w:rPr>
          <w:rFonts w:ascii="Times New Roman" w:hAnsi="Times New Roman"/>
          <w:iCs/>
        </w:rPr>
        <w:t>– 19</w:t>
      </w:r>
      <w:r w:rsidR="0014267B" w:rsidRPr="00E13F9C">
        <w:rPr>
          <w:rFonts w:ascii="Times New Roman" w:hAnsi="Times New Roman"/>
          <w:iCs/>
        </w:rPr>
        <w:t>, 2018</w:t>
      </w:r>
      <w:r w:rsidR="001A6B70" w:rsidRPr="00E13F9C">
        <w:rPr>
          <w:rFonts w:ascii="Times New Roman" w:hAnsi="Times New Roman"/>
          <w:iCs/>
        </w:rPr>
        <w:t>, Denver, Colorado</w:t>
      </w:r>
    </w:p>
    <w:p w14:paraId="0F95D9FD" w14:textId="2FB9FBCD" w:rsidR="001A6B70" w:rsidRPr="00E13F9C" w:rsidRDefault="00604DE9" w:rsidP="00E13F9C">
      <w:pPr>
        <w:pStyle w:val="ListParagraph"/>
        <w:numPr>
          <w:ilvl w:val="0"/>
          <w:numId w:val="28"/>
        </w:numPr>
        <w:spacing w:after="0" w:line="240" w:lineRule="auto"/>
        <w:contextualSpacing w:val="0"/>
        <w:rPr>
          <w:rFonts w:ascii="Times New Roman" w:hAnsi="Times New Roman"/>
        </w:rPr>
      </w:pPr>
      <w:hyperlink r:id="rId10" w:history="1">
        <w:r w:rsidR="001A6B70" w:rsidRPr="00E13F9C">
          <w:rPr>
            <w:rStyle w:val="Hyperlink"/>
            <w:rFonts w:ascii="Times New Roman" w:hAnsi="Times New Roman"/>
          </w:rPr>
          <w:t>2018 IEEE</w:t>
        </w:r>
        <w:r w:rsidR="00AC4902" w:rsidRPr="00E13F9C">
          <w:rPr>
            <w:rStyle w:val="Hyperlink"/>
            <w:rFonts w:ascii="Times New Roman" w:hAnsi="Times New Roman"/>
          </w:rPr>
          <w:t xml:space="preserve"> </w:t>
        </w:r>
        <w:r w:rsidR="001A6B70" w:rsidRPr="00E13F9C">
          <w:rPr>
            <w:rStyle w:val="Hyperlink"/>
            <w:rFonts w:ascii="Times New Roman" w:hAnsi="Times New Roman"/>
          </w:rPr>
          <w:t>PES General Meeting</w:t>
        </w:r>
      </w:hyperlink>
      <w:r w:rsidR="00AC4902" w:rsidRPr="00E13F9C">
        <w:rPr>
          <w:rFonts w:ascii="Times New Roman" w:hAnsi="Times New Roman"/>
        </w:rPr>
        <w:br/>
      </w:r>
      <w:r w:rsidR="0014267B" w:rsidRPr="00E13F9C">
        <w:rPr>
          <w:rFonts w:ascii="Times New Roman" w:hAnsi="Times New Roman"/>
        </w:rPr>
        <w:t xml:space="preserve">August 5 </w:t>
      </w:r>
      <w:r w:rsidR="00B67B37" w:rsidRPr="00E13F9C">
        <w:rPr>
          <w:rFonts w:ascii="Times New Roman" w:hAnsi="Times New Roman"/>
        </w:rPr>
        <w:t>– 9</w:t>
      </w:r>
      <w:r w:rsidR="0014267B" w:rsidRPr="00E13F9C">
        <w:rPr>
          <w:rFonts w:ascii="Times New Roman" w:hAnsi="Times New Roman"/>
        </w:rPr>
        <w:t>, 2018</w:t>
      </w:r>
      <w:r w:rsidR="001A6B70" w:rsidRPr="00E13F9C">
        <w:rPr>
          <w:rFonts w:ascii="Times New Roman" w:hAnsi="Times New Roman"/>
        </w:rPr>
        <w:t xml:space="preserve">, Portland, </w:t>
      </w:r>
      <w:r w:rsidR="008B0C8C" w:rsidRPr="00E13F9C">
        <w:rPr>
          <w:rFonts w:ascii="Times New Roman" w:hAnsi="Times New Roman"/>
        </w:rPr>
        <w:t>Oregon</w:t>
      </w:r>
    </w:p>
    <w:p w14:paraId="158BE18C" w14:textId="77777777" w:rsidR="009169F4" w:rsidRDefault="0043017F" w:rsidP="00B5257C">
      <w:pPr>
        <w:pStyle w:val="Heading2"/>
      </w:pPr>
      <w:r w:rsidRPr="0043017F">
        <w:t>2018 IEEE PES Transmission and Distribution Conference and Expositio</w:t>
      </w:r>
      <w:r w:rsidR="009169F4">
        <w:t>n</w:t>
      </w:r>
    </w:p>
    <w:p w14:paraId="4746D381" w14:textId="455629BC" w:rsidR="00144CA6" w:rsidRPr="00B67B37" w:rsidRDefault="0043017F" w:rsidP="009169F4">
      <w:pPr>
        <w:spacing w:before="0"/>
        <w:ind w:left="720"/>
      </w:pPr>
      <w:r w:rsidRPr="00B67B37">
        <w:t>April</w:t>
      </w:r>
      <w:r w:rsidR="00144CA6" w:rsidRPr="00B67B37">
        <w:t xml:space="preserve"> 1</w:t>
      </w:r>
      <w:r w:rsidR="00234A76" w:rsidRPr="00B67B37">
        <w:t>6</w:t>
      </w:r>
      <w:r w:rsidR="00B67B37" w:rsidRPr="00B67B37">
        <w:t xml:space="preserve"> – </w:t>
      </w:r>
      <w:r w:rsidRPr="00B67B37">
        <w:t>19</w:t>
      </w:r>
      <w:r w:rsidR="00144CA6" w:rsidRPr="00B67B37">
        <w:t>, 201</w:t>
      </w:r>
      <w:r w:rsidR="001A6B70" w:rsidRPr="00B67B37">
        <w:t>8</w:t>
      </w:r>
      <w:r w:rsidR="00144CA6" w:rsidRPr="00B67B37">
        <w:t xml:space="preserve">, </w:t>
      </w:r>
      <w:r w:rsidR="001A6B70" w:rsidRPr="00B67B37">
        <w:t>Denver, Colorado</w:t>
      </w:r>
    </w:p>
    <w:p w14:paraId="6435E2D9" w14:textId="611CF876" w:rsidR="00CB0283" w:rsidRDefault="00CB0283" w:rsidP="00B5257C">
      <w:pPr>
        <w:pStyle w:val="Heading3"/>
      </w:pPr>
      <w:r>
        <w:t>Paper Submittals</w:t>
      </w:r>
    </w:p>
    <w:p w14:paraId="032CD423" w14:textId="2F74C25A" w:rsidR="00544C1F" w:rsidRDefault="00137876" w:rsidP="00C27F80">
      <w:r>
        <w:t>A listing of the papers submitted</w:t>
      </w:r>
      <w:r w:rsidR="00415741">
        <w:t>,</w:t>
      </w:r>
      <w:r>
        <w:t xml:space="preserve"> and the status of each submission is shown in Table 1.</w:t>
      </w:r>
    </w:p>
    <w:p w14:paraId="5AC603CC" w14:textId="77777777" w:rsidR="003A0550" w:rsidRPr="00137876" w:rsidRDefault="003A0550" w:rsidP="002D2748">
      <w:pPr>
        <w:tabs>
          <w:tab w:val="decimal" w:leader="dot" w:pos="3600"/>
        </w:tabs>
        <w:ind w:left="720"/>
      </w:pPr>
      <w:r w:rsidRPr="00137876">
        <w:t>Accepted</w:t>
      </w:r>
      <w:r w:rsidRPr="00137876">
        <w:tab/>
      </w:r>
      <w:r w:rsidR="00200BF9" w:rsidRPr="00137876">
        <w:t>9</w:t>
      </w:r>
    </w:p>
    <w:p w14:paraId="798C874B" w14:textId="531B6149" w:rsidR="00544C1F" w:rsidRPr="002D2748" w:rsidRDefault="00544C1F" w:rsidP="002D2748">
      <w:pPr>
        <w:tabs>
          <w:tab w:val="decimal" w:leader="dot" w:pos="3600"/>
        </w:tabs>
        <w:spacing w:before="0"/>
        <w:ind w:left="720"/>
        <w:rPr>
          <w:u w:val="single"/>
        </w:rPr>
      </w:pPr>
      <w:r w:rsidRPr="002D2748">
        <w:rPr>
          <w:u w:val="single"/>
        </w:rPr>
        <w:t>Rejected</w:t>
      </w:r>
      <w:r w:rsidR="003A0550" w:rsidRPr="002D2748">
        <w:rPr>
          <w:u w:val="single"/>
        </w:rPr>
        <w:tab/>
      </w:r>
      <w:r w:rsidR="00200BF9" w:rsidRPr="002D2748">
        <w:rPr>
          <w:u w:val="single"/>
        </w:rPr>
        <w:t>4</w:t>
      </w:r>
    </w:p>
    <w:p w14:paraId="5C701764" w14:textId="52C2C397" w:rsidR="002D2748" w:rsidRPr="00137876" w:rsidRDefault="002D2748" w:rsidP="002D2748">
      <w:pPr>
        <w:tabs>
          <w:tab w:val="decimal" w:leader="dot" w:pos="3600"/>
        </w:tabs>
        <w:spacing w:before="0"/>
        <w:ind w:left="720"/>
      </w:pPr>
      <w:r>
        <w:t>Total Submissions</w:t>
      </w:r>
      <w:r>
        <w:tab/>
        <w:t>13</w:t>
      </w:r>
    </w:p>
    <w:p w14:paraId="1F2F2E73" w14:textId="63510B9E" w:rsidR="00922B38" w:rsidRDefault="00922B38" w:rsidP="00922B38">
      <w:pPr>
        <w:pStyle w:val="Caption"/>
        <w:keepNext/>
        <w:rPr>
          <w:noProof/>
        </w:rPr>
      </w:pPr>
      <w:r w:rsidRPr="00137876">
        <w:t xml:space="preserve">Table </w:t>
      </w:r>
      <w:r w:rsidR="00604DE9">
        <w:fldChar w:fldCharType="begin"/>
      </w:r>
      <w:r w:rsidR="00604DE9">
        <w:instrText xml:space="preserve"> SEQ Table \* ARABIC </w:instrText>
      </w:r>
      <w:r w:rsidR="00604DE9">
        <w:fldChar w:fldCharType="separate"/>
      </w:r>
      <w:r w:rsidR="000A49CE">
        <w:rPr>
          <w:noProof/>
        </w:rPr>
        <w:t>1</w:t>
      </w:r>
      <w:r w:rsidR="00604DE9">
        <w:rPr>
          <w:noProof/>
        </w:rPr>
        <w:fldChar w:fldCharType="end"/>
      </w:r>
      <w:r w:rsidR="000C0751" w:rsidRPr="00137876">
        <w:rPr>
          <w:noProof/>
        </w:rPr>
        <w:t>: T&amp;D</w:t>
      </w:r>
      <w:r w:rsidR="000C0751">
        <w:rPr>
          <w:noProof/>
        </w:rPr>
        <w:t xml:space="preserve"> </w:t>
      </w:r>
      <w:r w:rsidR="00A04721">
        <w:rPr>
          <w:noProof/>
        </w:rPr>
        <w:t xml:space="preserve">Conference </w:t>
      </w:r>
      <w:r w:rsidR="000C0751">
        <w:rPr>
          <w:noProof/>
        </w:rPr>
        <w:t>Papers Submitted</w:t>
      </w:r>
    </w:p>
    <w:tbl>
      <w:tblPr>
        <w:tblW w:w="4942" w:type="pct"/>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8" w:type="dxa"/>
          <w:left w:w="115" w:type="dxa"/>
          <w:bottom w:w="58" w:type="dxa"/>
          <w:right w:w="115" w:type="dxa"/>
        </w:tblCellMar>
        <w:tblLook w:val="04A0" w:firstRow="1" w:lastRow="0" w:firstColumn="1" w:lastColumn="0" w:noHBand="0" w:noVBand="1"/>
      </w:tblPr>
      <w:tblGrid>
        <w:gridCol w:w="1097"/>
        <w:gridCol w:w="6738"/>
        <w:gridCol w:w="1928"/>
      </w:tblGrid>
      <w:tr w:rsidR="00BB474F" w:rsidRPr="00BB474F" w14:paraId="2FF68C49" w14:textId="77777777" w:rsidTr="00757B09">
        <w:trPr>
          <w:cantSplit/>
          <w:trHeight w:val="288"/>
          <w:tblHeader/>
        </w:trPr>
        <w:tc>
          <w:tcPr>
            <w:tcW w:w="558" w:type="pct"/>
            <w:shd w:val="clear" w:color="auto" w:fill="F2F2F2" w:themeFill="background1" w:themeFillShade="F2"/>
            <w:vAlign w:val="center"/>
            <w:hideMark/>
          </w:tcPr>
          <w:p w14:paraId="7015C253" w14:textId="77777777" w:rsidR="00BB474F" w:rsidRPr="00BB474F" w:rsidRDefault="00BB474F" w:rsidP="00757B09">
            <w:pPr>
              <w:spacing w:before="0"/>
              <w:rPr>
                <w:b/>
                <w:bCs/>
                <w:sz w:val="20"/>
              </w:rPr>
            </w:pPr>
            <w:r w:rsidRPr="00BB474F">
              <w:rPr>
                <w:b/>
                <w:bCs/>
                <w:sz w:val="20"/>
              </w:rPr>
              <w:t>Pa</w:t>
            </w:r>
            <w:r w:rsidR="00200BF9">
              <w:rPr>
                <w:b/>
                <w:bCs/>
                <w:sz w:val="20"/>
              </w:rPr>
              <w:t>p</w:t>
            </w:r>
            <w:r w:rsidRPr="00BB474F">
              <w:rPr>
                <w:b/>
                <w:bCs/>
                <w:sz w:val="20"/>
              </w:rPr>
              <w:t>er</w:t>
            </w:r>
          </w:p>
        </w:tc>
        <w:tc>
          <w:tcPr>
            <w:tcW w:w="3452" w:type="pct"/>
            <w:shd w:val="clear" w:color="auto" w:fill="F2F2F2" w:themeFill="background1" w:themeFillShade="F2"/>
            <w:vAlign w:val="center"/>
            <w:hideMark/>
          </w:tcPr>
          <w:p w14:paraId="0DCCCE1C" w14:textId="77777777" w:rsidR="00BB474F" w:rsidRPr="00BB474F" w:rsidRDefault="00BB474F" w:rsidP="00757B09">
            <w:pPr>
              <w:spacing w:before="0"/>
              <w:rPr>
                <w:b/>
                <w:bCs/>
                <w:sz w:val="20"/>
              </w:rPr>
            </w:pPr>
            <w:r w:rsidRPr="00BB474F">
              <w:rPr>
                <w:b/>
                <w:bCs/>
                <w:sz w:val="20"/>
              </w:rPr>
              <w:t>Title</w:t>
            </w:r>
          </w:p>
        </w:tc>
        <w:tc>
          <w:tcPr>
            <w:tcW w:w="989" w:type="pct"/>
            <w:shd w:val="clear" w:color="auto" w:fill="F2F2F2" w:themeFill="background1" w:themeFillShade="F2"/>
            <w:vAlign w:val="center"/>
            <w:hideMark/>
          </w:tcPr>
          <w:p w14:paraId="050BC7A4" w14:textId="77777777" w:rsidR="00BB474F" w:rsidRPr="00BB474F" w:rsidRDefault="00137876" w:rsidP="00757B09">
            <w:pPr>
              <w:spacing w:before="0"/>
              <w:jc w:val="center"/>
              <w:rPr>
                <w:b/>
                <w:bCs/>
                <w:sz w:val="20"/>
              </w:rPr>
            </w:pPr>
            <w:r>
              <w:rPr>
                <w:b/>
                <w:bCs/>
                <w:sz w:val="20"/>
              </w:rPr>
              <w:t>Status</w:t>
            </w:r>
          </w:p>
        </w:tc>
      </w:tr>
      <w:tr w:rsidR="00BB474F" w:rsidRPr="00BB474F" w14:paraId="17C466B8" w14:textId="77777777" w:rsidTr="006C02A8">
        <w:trPr>
          <w:cantSplit/>
          <w:trHeight w:val="360"/>
        </w:trPr>
        <w:tc>
          <w:tcPr>
            <w:tcW w:w="558" w:type="pct"/>
            <w:shd w:val="clear" w:color="auto" w:fill="auto"/>
            <w:vAlign w:val="center"/>
            <w:hideMark/>
          </w:tcPr>
          <w:p w14:paraId="20709EB8" w14:textId="77777777" w:rsidR="00BB474F" w:rsidRPr="00BB474F" w:rsidRDefault="00BB474F" w:rsidP="00200BF9">
            <w:pPr>
              <w:spacing w:before="0"/>
              <w:rPr>
                <w:sz w:val="20"/>
              </w:rPr>
            </w:pPr>
            <w:r w:rsidRPr="00BB474F">
              <w:rPr>
                <w:sz w:val="20"/>
              </w:rPr>
              <w:t>18TD0042</w:t>
            </w:r>
          </w:p>
        </w:tc>
        <w:tc>
          <w:tcPr>
            <w:tcW w:w="3452" w:type="pct"/>
            <w:shd w:val="clear" w:color="auto" w:fill="auto"/>
            <w:vAlign w:val="center"/>
            <w:hideMark/>
          </w:tcPr>
          <w:p w14:paraId="1B85B64A" w14:textId="77777777" w:rsidR="00BB474F" w:rsidRPr="00BB474F" w:rsidRDefault="00BB474F" w:rsidP="00200BF9">
            <w:pPr>
              <w:spacing w:before="0"/>
              <w:rPr>
                <w:sz w:val="20"/>
              </w:rPr>
            </w:pPr>
            <w:r w:rsidRPr="00BB474F">
              <w:rPr>
                <w:sz w:val="20"/>
              </w:rPr>
              <w:t>Online Monitoring Data Cleaning of Transformer Considering Time Series Correlation</w:t>
            </w:r>
          </w:p>
        </w:tc>
        <w:tc>
          <w:tcPr>
            <w:tcW w:w="989" w:type="pct"/>
            <w:shd w:val="clear" w:color="auto" w:fill="auto"/>
            <w:vAlign w:val="center"/>
            <w:hideMark/>
          </w:tcPr>
          <w:p w14:paraId="73AEE642" w14:textId="77777777" w:rsidR="00BB474F" w:rsidRPr="00BB474F" w:rsidRDefault="00BB474F" w:rsidP="00200BF9">
            <w:pPr>
              <w:spacing w:before="0"/>
              <w:jc w:val="center"/>
              <w:rPr>
                <w:sz w:val="20"/>
              </w:rPr>
            </w:pPr>
            <w:r w:rsidRPr="00BB474F">
              <w:rPr>
                <w:sz w:val="20"/>
              </w:rPr>
              <w:t>Accepted</w:t>
            </w:r>
          </w:p>
        </w:tc>
      </w:tr>
      <w:tr w:rsidR="00BB474F" w:rsidRPr="00BB474F" w14:paraId="4EDDF133" w14:textId="77777777" w:rsidTr="006C02A8">
        <w:trPr>
          <w:cantSplit/>
          <w:trHeight w:val="360"/>
        </w:trPr>
        <w:tc>
          <w:tcPr>
            <w:tcW w:w="558" w:type="pct"/>
            <w:shd w:val="clear" w:color="auto" w:fill="auto"/>
            <w:vAlign w:val="center"/>
            <w:hideMark/>
          </w:tcPr>
          <w:p w14:paraId="64A55451" w14:textId="77777777" w:rsidR="00BB474F" w:rsidRPr="00BB474F" w:rsidRDefault="00BB474F" w:rsidP="00200BF9">
            <w:pPr>
              <w:spacing w:before="0"/>
              <w:rPr>
                <w:sz w:val="20"/>
              </w:rPr>
            </w:pPr>
            <w:r w:rsidRPr="00BB474F">
              <w:rPr>
                <w:sz w:val="20"/>
              </w:rPr>
              <w:t>18TD0085</w:t>
            </w:r>
          </w:p>
        </w:tc>
        <w:tc>
          <w:tcPr>
            <w:tcW w:w="3452" w:type="pct"/>
            <w:shd w:val="clear" w:color="auto" w:fill="auto"/>
            <w:vAlign w:val="center"/>
            <w:hideMark/>
          </w:tcPr>
          <w:p w14:paraId="35A09F76" w14:textId="77777777" w:rsidR="00BB474F" w:rsidRPr="00BB474F" w:rsidRDefault="00BB474F" w:rsidP="00200BF9">
            <w:pPr>
              <w:spacing w:before="0"/>
              <w:rPr>
                <w:sz w:val="20"/>
              </w:rPr>
            </w:pPr>
            <w:r w:rsidRPr="00BB474F">
              <w:rPr>
                <w:sz w:val="20"/>
              </w:rPr>
              <w:t>Online Sequential Extreme Learning Machine for Partial Discharge Pattern Recognition of Transformer</w:t>
            </w:r>
          </w:p>
        </w:tc>
        <w:tc>
          <w:tcPr>
            <w:tcW w:w="989" w:type="pct"/>
            <w:shd w:val="clear" w:color="auto" w:fill="auto"/>
            <w:vAlign w:val="center"/>
            <w:hideMark/>
          </w:tcPr>
          <w:p w14:paraId="6E124B41" w14:textId="77777777" w:rsidR="00BB474F" w:rsidRPr="00BB474F" w:rsidRDefault="00BB474F" w:rsidP="00200BF9">
            <w:pPr>
              <w:spacing w:before="0"/>
              <w:jc w:val="center"/>
              <w:rPr>
                <w:sz w:val="20"/>
              </w:rPr>
            </w:pPr>
            <w:r w:rsidRPr="00BB474F">
              <w:rPr>
                <w:sz w:val="20"/>
              </w:rPr>
              <w:t>Accepted</w:t>
            </w:r>
          </w:p>
        </w:tc>
      </w:tr>
      <w:tr w:rsidR="00BB474F" w:rsidRPr="00BB474F" w14:paraId="6B856621" w14:textId="77777777" w:rsidTr="006C02A8">
        <w:trPr>
          <w:cantSplit/>
          <w:trHeight w:val="360"/>
        </w:trPr>
        <w:tc>
          <w:tcPr>
            <w:tcW w:w="558" w:type="pct"/>
            <w:shd w:val="clear" w:color="auto" w:fill="auto"/>
            <w:vAlign w:val="center"/>
            <w:hideMark/>
          </w:tcPr>
          <w:p w14:paraId="337B23A5" w14:textId="77777777" w:rsidR="00BB474F" w:rsidRPr="00BB474F" w:rsidRDefault="00BB474F" w:rsidP="00200BF9">
            <w:pPr>
              <w:spacing w:before="0"/>
              <w:rPr>
                <w:sz w:val="20"/>
              </w:rPr>
            </w:pPr>
            <w:r w:rsidRPr="00BB474F">
              <w:rPr>
                <w:sz w:val="20"/>
              </w:rPr>
              <w:t>18TD0102</w:t>
            </w:r>
          </w:p>
        </w:tc>
        <w:tc>
          <w:tcPr>
            <w:tcW w:w="3452" w:type="pct"/>
            <w:shd w:val="clear" w:color="auto" w:fill="auto"/>
            <w:vAlign w:val="center"/>
            <w:hideMark/>
          </w:tcPr>
          <w:p w14:paraId="16133CEC" w14:textId="77777777" w:rsidR="00BB474F" w:rsidRPr="00BB474F" w:rsidRDefault="00BB474F" w:rsidP="00200BF9">
            <w:pPr>
              <w:spacing w:before="0"/>
              <w:rPr>
                <w:sz w:val="20"/>
              </w:rPr>
            </w:pPr>
            <w:r w:rsidRPr="00BB474F">
              <w:rPr>
                <w:sz w:val="20"/>
              </w:rPr>
              <w:t>Newly Developed and Cost-Effective Submersible Dry-Type Network Transformers</w:t>
            </w:r>
          </w:p>
        </w:tc>
        <w:tc>
          <w:tcPr>
            <w:tcW w:w="989" w:type="pct"/>
            <w:shd w:val="clear" w:color="auto" w:fill="auto"/>
            <w:vAlign w:val="center"/>
            <w:hideMark/>
          </w:tcPr>
          <w:p w14:paraId="7B14E440" w14:textId="77777777" w:rsidR="00BB474F" w:rsidRPr="00BB474F" w:rsidRDefault="00BB474F" w:rsidP="00200BF9">
            <w:pPr>
              <w:spacing w:before="0"/>
              <w:jc w:val="center"/>
              <w:rPr>
                <w:sz w:val="20"/>
              </w:rPr>
            </w:pPr>
            <w:r w:rsidRPr="00BB474F">
              <w:rPr>
                <w:sz w:val="20"/>
              </w:rPr>
              <w:t>Accepted</w:t>
            </w:r>
          </w:p>
        </w:tc>
      </w:tr>
      <w:tr w:rsidR="00BB474F" w:rsidRPr="00BB474F" w14:paraId="36AA42F7" w14:textId="77777777" w:rsidTr="006C02A8">
        <w:trPr>
          <w:cantSplit/>
          <w:trHeight w:val="360"/>
        </w:trPr>
        <w:tc>
          <w:tcPr>
            <w:tcW w:w="558" w:type="pct"/>
            <w:shd w:val="clear" w:color="auto" w:fill="auto"/>
            <w:vAlign w:val="center"/>
            <w:hideMark/>
          </w:tcPr>
          <w:p w14:paraId="77ABFBFE" w14:textId="77777777" w:rsidR="00BB474F" w:rsidRPr="00BB474F" w:rsidRDefault="00BB474F" w:rsidP="00200BF9">
            <w:pPr>
              <w:spacing w:before="0"/>
              <w:rPr>
                <w:sz w:val="20"/>
              </w:rPr>
            </w:pPr>
            <w:r w:rsidRPr="00BB474F">
              <w:rPr>
                <w:sz w:val="20"/>
              </w:rPr>
              <w:t>18TD0107</w:t>
            </w:r>
          </w:p>
        </w:tc>
        <w:tc>
          <w:tcPr>
            <w:tcW w:w="3452" w:type="pct"/>
            <w:shd w:val="clear" w:color="auto" w:fill="auto"/>
            <w:vAlign w:val="center"/>
            <w:hideMark/>
          </w:tcPr>
          <w:p w14:paraId="1BEF30CB" w14:textId="77777777" w:rsidR="00BB474F" w:rsidRPr="00BB474F" w:rsidRDefault="00BB474F" w:rsidP="00200BF9">
            <w:pPr>
              <w:spacing w:before="0"/>
              <w:rPr>
                <w:sz w:val="20"/>
              </w:rPr>
            </w:pPr>
            <w:r w:rsidRPr="00BB474F">
              <w:rPr>
                <w:sz w:val="20"/>
              </w:rPr>
              <w:t>Residual Magnetic Flux of Three-Phase Three-Leg Transformer for Controlled Switching</w:t>
            </w:r>
          </w:p>
        </w:tc>
        <w:tc>
          <w:tcPr>
            <w:tcW w:w="989" w:type="pct"/>
            <w:shd w:val="clear" w:color="auto" w:fill="auto"/>
            <w:vAlign w:val="center"/>
            <w:hideMark/>
          </w:tcPr>
          <w:p w14:paraId="422F966A" w14:textId="77777777" w:rsidR="00BB474F" w:rsidRPr="00BB474F" w:rsidRDefault="00BB474F" w:rsidP="00200BF9">
            <w:pPr>
              <w:spacing w:before="0"/>
              <w:jc w:val="center"/>
              <w:rPr>
                <w:sz w:val="20"/>
              </w:rPr>
            </w:pPr>
            <w:r w:rsidRPr="00BB474F">
              <w:rPr>
                <w:sz w:val="20"/>
              </w:rPr>
              <w:t>Accepted</w:t>
            </w:r>
          </w:p>
        </w:tc>
      </w:tr>
      <w:tr w:rsidR="00BB474F" w:rsidRPr="00BB474F" w14:paraId="08A87FCC" w14:textId="77777777" w:rsidTr="006C02A8">
        <w:trPr>
          <w:cantSplit/>
          <w:trHeight w:val="360"/>
        </w:trPr>
        <w:tc>
          <w:tcPr>
            <w:tcW w:w="558" w:type="pct"/>
            <w:shd w:val="clear" w:color="auto" w:fill="auto"/>
            <w:vAlign w:val="center"/>
            <w:hideMark/>
          </w:tcPr>
          <w:p w14:paraId="3CD7CB22" w14:textId="77777777" w:rsidR="00BB474F" w:rsidRPr="00BB474F" w:rsidRDefault="00BB474F" w:rsidP="00200BF9">
            <w:pPr>
              <w:spacing w:before="0"/>
              <w:rPr>
                <w:sz w:val="20"/>
              </w:rPr>
            </w:pPr>
            <w:r w:rsidRPr="00BB474F">
              <w:rPr>
                <w:sz w:val="20"/>
              </w:rPr>
              <w:t>18TD0133</w:t>
            </w:r>
          </w:p>
        </w:tc>
        <w:tc>
          <w:tcPr>
            <w:tcW w:w="3452" w:type="pct"/>
            <w:shd w:val="clear" w:color="auto" w:fill="auto"/>
            <w:vAlign w:val="center"/>
            <w:hideMark/>
          </w:tcPr>
          <w:p w14:paraId="3D98A32E" w14:textId="77777777" w:rsidR="00BB474F" w:rsidRPr="00BB474F" w:rsidRDefault="00BB474F" w:rsidP="00200BF9">
            <w:pPr>
              <w:spacing w:before="0"/>
              <w:rPr>
                <w:sz w:val="20"/>
              </w:rPr>
            </w:pPr>
            <w:r w:rsidRPr="00BB474F">
              <w:rPr>
                <w:sz w:val="20"/>
              </w:rPr>
              <w:t>Limiting Voltage Dips and Inrush Currents When Energizing Power Transformers</w:t>
            </w:r>
          </w:p>
        </w:tc>
        <w:tc>
          <w:tcPr>
            <w:tcW w:w="989" w:type="pct"/>
            <w:shd w:val="clear" w:color="auto" w:fill="auto"/>
            <w:vAlign w:val="center"/>
            <w:hideMark/>
          </w:tcPr>
          <w:p w14:paraId="23B8EEA9" w14:textId="77777777" w:rsidR="00BB474F" w:rsidRPr="00BB474F" w:rsidRDefault="00BB474F" w:rsidP="00200BF9">
            <w:pPr>
              <w:spacing w:before="0"/>
              <w:jc w:val="center"/>
              <w:rPr>
                <w:sz w:val="20"/>
              </w:rPr>
            </w:pPr>
            <w:r w:rsidRPr="00BB474F">
              <w:rPr>
                <w:sz w:val="20"/>
              </w:rPr>
              <w:t>Accepted</w:t>
            </w:r>
          </w:p>
        </w:tc>
      </w:tr>
      <w:tr w:rsidR="00BB474F" w:rsidRPr="00BB474F" w14:paraId="7200C925" w14:textId="77777777" w:rsidTr="006C02A8">
        <w:trPr>
          <w:cantSplit/>
          <w:trHeight w:val="360"/>
        </w:trPr>
        <w:tc>
          <w:tcPr>
            <w:tcW w:w="558" w:type="pct"/>
            <w:shd w:val="clear" w:color="auto" w:fill="auto"/>
            <w:vAlign w:val="center"/>
            <w:hideMark/>
          </w:tcPr>
          <w:p w14:paraId="433B63A4" w14:textId="77777777" w:rsidR="00BB474F" w:rsidRPr="00BB474F" w:rsidRDefault="00BB474F" w:rsidP="00200BF9">
            <w:pPr>
              <w:spacing w:before="0"/>
              <w:rPr>
                <w:sz w:val="20"/>
              </w:rPr>
            </w:pPr>
            <w:r w:rsidRPr="00BB474F">
              <w:rPr>
                <w:sz w:val="20"/>
              </w:rPr>
              <w:t>18TD0167</w:t>
            </w:r>
          </w:p>
        </w:tc>
        <w:tc>
          <w:tcPr>
            <w:tcW w:w="3452" w:type="pct"/>
            <w:shd w:val="clear" w:color="auto" w:fill="auto"/>
            <w:vAlign w:val="center"/>
            <w:hideMark/>
          </w:tcPr>
          <w:p w14:paraId="586A5CB3" w14:textId="77777777" w:rsidR="00BB474F" w:rsidRPr="00BB474F" w:rsidRDefault="00BB474F" w:rsidP="00200BF9">
            <w:pPr>
              <w:spacing w:before="0"/>
              <w:rPr>
                <w:sz w:val="20"/>
              </w:rPr>
            </w:pPr>
            <w:r w:rsidRPr="00BB474F">
              <w:rPr>
                <w:sz w:val="20"/>
              </w:rPr>
              <w:t>Submersible Transformer Inspection Robot (STIR) - A Change of Paradigm</w:t>
            </w:r>
          </w:p>
        </w:tc>
        <w:tc>
          <w:tcPr>
            <w:tcW w:w="989" w:type="pct"/>
            <w:shd w:val="clear" w:color="auto" w:fill="auto"/>
            <w:vAlign w:val="center"/>
            <w:hideMark/>
          </w:tcPr>
          <w:p w14:paraId="03731BDE" w14:textId="77777777" w:rsidR="00BB474F" w:rsidRPr="00BB474F" w:rsidRDefault="00BB474F" w:rsidP="00200BF9">
            <w:pPr>
              <w:spacing w:before="0"/>
              <w:jc w:val="center"/>
              <w:rPr>
                <w:sz w:val="20"/>
              </w:rPr>
            </w:pPr>
            <w:r w:rsidRPr="00BB474F">
              <w:rPr>
                <w:sz w:val="20"/>
              </w:rPr>
              <w:t>Accepted</w:t>
            </w:r>
          </w:p>
        </w:tc>
      </w:tr>
      <w:tr w:rsidR="00BB474F" w:rsidRPr="00BB474F" w14:paraId="1851E0AE" w14:textId="77777777" w:rsidTr="006C02A8">
        <w:trPr>
          <w:cantSplit/>
          <w:trHeight w:val="360"/>
        </w:trPr>
        <w:tc>
          <w:tcPr>
            <w:tcW w:w="558" w:type="pct"/>
            <w:shd w:val="clear" w:color="auto" w:fill="auto"/>
            <w:vAlign w:val="center"/>
            <w:hideMark/>
          </w:tcPr>
          <w:p w14:paraId="233184CF" w14:textId="77777777" w:rsidR="00BB474F" w:rsidRPr="00BB474F" w:rsidRDefault="00BB474F" w:rsidP="00200BF9">
            <w:pPr>
              <w:spacing w:before="0"/>
              <w:rPr>
                <w:sz w:val="20"/>
              </w:rPr>
            </w:pPr>
            <w:r w:rsidRPr="00BB474F">
              <w:rPr>
                <w:sz w:val="20"/>
              </w:rPr>
              <w:t>18TD0283</w:t>
            </w:r>
          </w:p>
        </w:tc>
        <w:tc>
          <w:tcPr>
            <w:tcW w:w="3452" w:type="pct"/>
            <w:shd w:val="clear" w:color="auto" w:fill="auto"/>
            <w:vAlign w:val="center"/>
            <w:hideMark/>
          </w:tcPr>
          <w:p w14:paraId="3DC0B01F" w14:textId="77777777" w:rsidR="00BB474F" w:rsidRPr="00BB474F" w:rsidRDefault="00BB474F" w:rsidP="00200BF9">
            <w:pPr>
              <w:spacing w:before="0"/>
              <w:rPr>
                <w:sz w:val="20"/>
              </w:rPr>
            </w:pPr>
            <w:r w:rsidRPr="00BB474F">
              <w:rPr>
                <w:sz w:val="20"/>
              </w:rPr>
              <w:t>Ester-based Dielectric Liquid for Grid Resilience and EHV Mobile Transformers</w:t>
            </w:r>
          </w:p>
        </w:tc>
        <w:tc>
          <w:tcPr>
            <w:tcW w:w="989" w:type="pct"/>
            <w:shd w:val="clear" w:color="auto" w:fill="auto"/>
            <w:vAlign w:val="center"/>
            <w:hideMark/>
          </w:tcPr>
          <w:p w14:paraId="24317493" w14:textId="77777777" w:rsidR="00BB474F" w:rsidRPr="00BB474F" w:rsidRDefault="00BB474F" w:rsidP="00200BF9">
            <w:pPr>
              <w:spacing w:before="0"/>
              <w:jc w:val="center"/>
              <w:rPr>
                <w:sz w:val="20"/>
              </w:rPr>
            </w:pPr>
            <w:r w:rsidRPr="00BB474F">
              <w:rPr>
                <w:sz w:val="20"/>
              </w:rPr>
              <w:t>Accepted</w:t>
            </w:r>
          </w:p>
        </w:tc>
      </w:tr>
      <w:tr w:rsidR="00BB474F" w:rsidRPr="00BB474F" w14:paraId="6F8BFC3E" w14:textId="77777777" w:rsidTr="006C02A8">
        <w:trPr>
          <w:cantSplit/>
          <w:trHeight w:val="360"/>
        </w:trPr>
        <w:tc>
          <w:tcPr>
            <w:tcW w:w="558" w:type="pct"/>
            <w:shd w:val="clear" w:color="auto" w:fill="auto"/>
            <w:vAlign w:val="center"/>
            <w:hideMark/>
          </w:tcPr>
          <w:p w14:paraId="18252C4F" w14:textId="77777777" w:rsidR="00BB474F" w:rsidRPr="00BB474F" w:rsidRDefault="00BB474F" w:rsidP="00200BF9">
            <w:pPr>
              <w:spacing w:before="0"/>
              <w:rPr>
                <w:sz w:val="20"/>
              </w:rPr>
            </w:pPr>
            <w:r w:rsidRPr="00BB474F">
              <w:rPr>
                <w:sz w:val="20"/>
              </w:rPr>
              <w:t>18TD0398</w:t>
            </w:r>
          </w:p>
        </w:tc>
        <w:tc>
          <w:tcPr>
            <w:tcW w:w="3452" w:type="pct"/>
            <w:shd w:val="clear" w:color="auto" w:fill="auto"/>
            <w:vAlign w:val="center"/>
            <w:hideMark/>
          </w:tcPr>
          <w:p w14:paraId="652195E8" w14:textId="77777777" w:rsidR="00BB474F" w:rsidRPr="00BB474F" w:rsidRDefault="00BB474F" w:rsidP="00200BF9">
            <w:pPr>
              <w:spacing w:before="0"/>
              <w:rPr>
                <w:sz w:val="20"/>
              </w:rPr>
            </w:pPr>
            <w:r w:rsidRPr="00BB474F">
              <w:rPr>
                <w:sz w:val="20"/>
              </w:rPr>
              <w:t>High temperature insulation systems: an option for resilient transformers</w:t>
            </w:r>
          </w:p>
        </w:tc>
        <w:tc>
          <w:tcPr>
            <w:tcW w:w="989" w:type="pct"/>
            <w:shd w:val="clear" w:color="auto" w:fill="auto"/>
            <w:vAlign w:val="center"/>
            <w:hideMark/>
          </w:tcPr>
          <w:p w14:paraId="5480E2DC" w14:textId="77777777" w:rsidR="00BB474F" w:rsidRPr="00BB474F" w:rsidRDefault="00BB474F" w:rsidP="00200BF9">
            <w:pPr>
              <w:spacing w:before="0"/>
              <w:jc w:val="center"/>
              <w:rPr>
                <w:sz w:val="20"/>
              </w:rPr>
            </w:pPr>
            <w:r w:rsidRPr="00BB474F">
              <w:rPr>
                <w:sz w:val="20"/>
              </w:rPr>
              <w:t>Accepted</w:t>
            </w:r>
          </w:p>
        </w:tc>
      </w:tr>
      <w:tr w:rsidR="00BB474F" w:rsidRPr="00BB474F" w14:paraId="2E1126DC" w14:textId="77777777" w:rsidTr="006C02A8">
        <w:trPr>
          <w:cantSplit/>
          <w:trHeight w:val="360"/>
        </w:trPr>
        <w:tc>
          <w:tcPr>
            <w:tcW w:w="558" w:type="pct"/>
            <w:shd w:val="clear" w:color="auto" w:fill="auto"/>
            <w:vAlign w:val="center"/>
            <w:hideMark/>
          </w:tcPr>
          <w:p w14:paraId="6858CD0F" w14:textId="77777777" w:rsidR="00BB474F" w:rsidRPr="00BB474F" w:rsidRDefault="00BB474F" w:rsidP="00200BF9">
            <w:pPr>
              <w:spacing w:before="0"/>
              <w:rPr>
                <w:sz w:val="20"/>
              </w:rPr>
            </w:pPr>
            <w:r w:rsidRPr="00BB474F">
              <w:rPr>
                <w:sz w:val="20"/>
              </w:rPr>
              <w:t>18TD0401</w:t>
            </w:r>
          </w:p>
        </w:tc>
        <w:tc>
          <w:tcPr>
            <w:tcW w:w="3452" w:type="pct"/>
            <w:shd w:val="clear" w:color="auto" w:fill="auto"/>
            <w:vAlign w:val="center"/>
            <w:hideMark/>
          </w:tcPr>
          <w:p w14:paraId="31BFA014" w14:textId="77777777" w:rsidR="00BB474F" w:rsidRPr="00BB474F" w:rsidRDefault="00BB474F" w:rsidP="00200BF9">
            <w:pPr>
              <w:spacing w:before="0"/>
              <w:rPr>
                <w:sz w:val="20"/>
              </w:rPr>
            </w:pPr>
            <w:r w:rsidRPr="00BB474F">
              <w:rPr>
                <w:sz w:val="20"/>
              </w:rPr>
              <w:t>Monitoring Gas Generation in Transformers</w:t>
            </w:r>
          </w:p>
        </w:tc>
        <w:tc>
          <w:tcPr>
            <w:tcW w:w="989" w:type="pct"/>
            <w:shd w:val="clear" w:color="auto" w:fill="auto"/>
            <w:vAlign w:val="center"/>
            <w:hideMark/>
          </w:tcPr>
          <w:p w14:paraId="1F6CDAC3" w14:textId="77777777" w:rsidR="00BB474F" w:rsidRPr="00BB474F" w:rsidRDefault="00BB474F" w:rsidP="00200BF9">
            <w:pPr>
              <w:spacing w:before="0"/>
              <w:jc w:val="center"/>
              <w:rPr>
                <w:sz w:val="20"/>
              </w:rPr>
            </w:pPr>
            <w:r w:rsidRPr="00BB474F">
              <w:rPr>
                <w:sz w:val="20"/>
              </w:rPr>
              <w:t>Accepted</w:t>
            </w:r>
          </w:p>
        </w:tc>
      </w:tr>
      <w:tr w:rsidR="00BB474F" w:rsidRPr="00BB474F" w14:paraId="1DC08E0B" w14:textId="77777777" w:rsidTr="006C02A8">
        <w:trPr>
          <w:cantSplit/>
          <w:trHeight w:val="360"/>
        </w:trPr>
        <w:tc>
          <w:tcPr>
            <w:tcW w:w="558" w:type="pct"/>
            <w:shd w:val="clear" w:color="auto" w:fill="auto"/>
            <w:vAlign w:val="center"/>
            <w:hideMark/>
          </w:tcPr>
          <w:p w14:paraId="630C8C5A" w14:textId="77777777" w:rsidR="00BB474F" w:rsidRPr="00BB474F" w:rsidRDefault="00BB474F" w:rsidP="00200BF9">
            <w:pPr>
              <w:spacing w:before="0"/>
              <w:rPr>
                <w:sz w:val="20"/>
              </w:rPr>
            </w:pPr>
            <w:r w:rsidRPr="00BB474F">
              <w:rPr>
                <w:sz w:val="20"/>
              </w:rPr>
              <w:t>18TD0048</w:t>
            </w:r>
          </w:p>
        </w:tc>
        <w:tc>
          <w:tcPr>
            <w:tcW w:w="3452" w:type="pct"/>
            <w:shd w:val="clear" w:color="auto" w:fill="auto"/>
            <w:vAlign w:val="center"/>
            <w:hideMark/>
          </w:tcPr>
          <w:p w14:paraId="73714F01" w14:textId="77777777" w:rsidR="00BB474F" w:rsidRPr="00BB474F" w:rsidRDefault="00BB474F" w:rsidP="00200BF9">
            <w:pPr>
              <w:spacing w:before="0"/>
              <w:rPr>
                <w:sz w:val="20"/>
              </w:rPr>
            </w:pPr>
            <w:r w:rsidRPr="00BB474F">
              <w:rPr>
                <w:sz w:val="20"/>
              </w:rPr>
              <w:t>Electric Substation Large Power Equipment Innovative and Cost Effective Methods for Repairing Oil and Gas Leaks</w:t>
            </w:r>
          </w:p>
        </w:tc>
        <w:tc>
          <w:tcPr>
            <w:tcW w:w="989" w:type="pct"/>
            <w:shd w:val="clear" w:color="auto" w:fill="auto"/>
            <w:vAlign w:val="center"/>
            <w:hideMark/>
          </w:tcPr>
          <w:p w14:paraId="5CF0D24C" w14:textId="77777777" w:rsidR="00BB474F" w:rsidRPr="00BB474F" w:rsidRDefault="00BB474F" w:rsidP="00200BF9">
            <w:pPr>
              <w:spacing w:before="0"/>
              <w:jc w:val="center"/>
              <w:rPr>
                <w:sz w:val="20"/>
              </w:rPr>
            </w:pPr>
            <w:r w:rsidRPr="00BB474F">
              <w:rPr>
                <w:sz w:val="20"/>
              </w:rPr>
              <w:t>Rejected</w:t>
            </w:r>
          </w:p>
        </w:tc>
      </w:tr>
      <w:tr w:rsidR="00BB474F" w:rsidRPr="00BB474F" w14:paraId="182F10EE" w14:textId="77777777" w:rsidTr="006C02A8">
        <w:trPr>
          <w:cantSplit/>
          <w:trHeight w:val="360"/>
        </w:trPr>
        <w:tc>
          <w:tcPr>
            <w:tcW w:w="558" w:type="pct"/>
            <w:shd w:val="clear" w:color="auto" w:fill="auto"/>
            <w:vAlign w:val="center"/>
            <w:hideMark/>
          </w:tcPr>
          <w:p w14:paraId="7F160D11" w14:textId="77777777" w:rsidR="00BB474F" w:rsidRPr="00BB474F" w:rsidRDefault="00BB474F" w:rsidP="00200BF9">
            <w:pPr>
              <w:spacing w:before="0"/>
              <w:rPr>
                <w:sz w:val="20"/>
              </w:rPr>
            </w:pPr>
            <w:r w:rsidRPr="00BB474F">
              <w:rPr>
                <w:sz w:val="20"/>
              </w:rPr>
              <w:t>18TD0225</w:t>
            </w:r>
          </w:p>
        </w:tc>
        <w:tc>
          <w:tcPr>
            <w:tcW w:w="3452" w:type="pct"/>
            <w:shd w:val="clear" w:color="auto" w:fill="auto"/>
            <w:vAlign w:val="center"/>
            <w:hideMark/>
          </w:tcPr>
          <w:p w14:paraId="0C00338C" w14:textId="77777777" w:rsidR="00BB474F" w:rsidRPr="00BB474F" w:rsidRDefault="00BB474F" w:rsidP="00200BF9">
            <w:pPr>
              <w:spacing w:before="0"/>
              <w:rPr>
                <w:sz w:val="20"/>
              </w:rPr>
            </w:pPr>
            <w:r w:rsidRPr="00BB474F">
              <w:rPr>
                <w:sz w:val="20"/>
              </w:rPr>
              <w:t>Bushing 101Design, Application, Field Issues, Solutions and New Technology</w:t>
            </w:r>
          </w:p>
        </w:tc>
        <w:tc>
          <w:tcPr>
            <w:tcW w:w="989" w:type="pct"/>
            <w:shd w:val="clear" w:color="auto" w:fill="auto"/>
            <w:vAlign w:val="center"/>
            <w:hideMark/>
          </w:tcPr>
          <w:p w14:paraId="7EC64AC3" w14:textId="77777777" w:rsidR="00BB474F" w:rsidRPr="00BB474F" w:rsidRDefault="00BB474F" w:rsidP="00200BF9">
            <w:pPr>
              <w:spacing w:before="0"/>
              <w:jc w:val="center"/>
              <w:rPr>
                <w:sz w:val="20"/>
              </w:rPr>
            </w:pPr>
            <w:r w:rsidRPr="00BB474F">
              <w:rPr>
                <w:sz w:val="20"/>
              </w:rPr>
              <w:t>Rejected</w:t>
            </w:r>
          </w:p>
        </w:tc>
      </w:tr>
      <w:tr w:rsidR="00BB474F" w:rsidRPr="00BB474F" w14:paraId="42B93CDD" w14:textId="77777777" w:rsidTr="006C02A8">
        <w:trPr>
          <w:cantSplit/>
          <w:trHeight w:val="360"/>
        </w:trPr>
        <w:tc>
          <w:tcPr>
            <w:tcW w:w="558" w:type="pct"/>
            <w:shd w:val="clear" w:color="auto" w:fill="auto"/>
            <w:vAlign w:val="center"/>
            <w:hideMark/>
          </w:tcPr>
          <w:p w14:paraId="60A93820" w14:textId="77777777" w:rsidR="00BB474F" w:rsidRPr="00BB474F" w:rsidRDefault="00BB474F" w:rsidP="00200BF9">
            <w:pPr>
              <w:spacing w:before="0"/>
              <w:rPr>
                <w:sz w:val="20"/>
              </w:rPr>
            </w:pPr>
            <w:r w:rsidRPr="00BB474F">
              <w:rPr>
                <w:sz w:val="20"/>
              </w:rPr>
              <w:t>18TD0257</w:t>
            </w:r>
          </w:p>
        </w:tc>
        <w:tc>
          <w:tcPr>
            <w:tcW w:w="3452" w:type="pct"/>
            <w:shd w:val="clear" w:color="auto" w:fill="auto"/>
            <w:vAlign w:val="center"/>
            <w:hideMark/>
          </w:tcPr>
          <w:p w14:paraId="56DB1045" w14:textId="77777777" w:rsidR="00BB474F" w:rsidRPr="00BB474F" w:rsidRDefault="00BB474F" w:rsidP="00200BF9">
            <w:pPr>
              <w:spacing w:before="0"/>
              <w:rPr>
                <w:sz w:val="20"/>
              </w:rPr>
            </w:pPr>
            <w:r w:rsidRPr="00BB474F">
              <w:rPr>
                <w:sz w:val="20"/>
              </w:rPr>
              <w:t>Understanding the Sympathetic Inrush Phenomenon in the Power Network using Transformer Explorer</w:t>
            </w:r>
          </w:p>
        </w:tc>
        <w:tc>
          <w:tcPr>
            <w:tcW w:w="989" w:type="pct"/>
            <w:shd w:val="clear" w:color="auto" w:fill="auto"/>
            <w:vAlign w:val="center"/>
            <w:hideMark/>
          </w:tcPr>
          <w:p w14:paraId="2D0C0F71" w14:textId="77777777" w:rsidR="00BB474F" w:rsidRPr="00BB474F" w:rsidRDefault="00BB474F" w:rsidP="00200BF9">
            <w:pPr>
              <w:spacing w:before="0"/>
              <w:jc w:val="center"/>
              <w:rPr>
                <w:sz w:val="20"/>
              </w:rPr>
            </w:pPr>
            <w:r w:rsidRPr="00BB474F">
              <w:rPr>
                <w:sz w:val="20"/>
              </w:rPr>
              <w:t>Rejected</w:t>
            </w:r>
          </w:p>
        </w:tc>
      </w:tr>
      <w:tr w:rsidR="00BB474F" w:rsidRPr="00BB474F" w14:paraId="4551DFA3" w14:textId="77777777" w:rsidTr="006C02A8">
        <w:trPr>
          <w:cantSplit/>
          <w:trHeight w:val="360"/>
        </w:trPr>
        <w:tc>
          <w:tcPr>
            <w:tcW w:w="558" w:type="pct"/>
            <w:shd w:val="clear" w:color="auto" w:fill="auto"/>
            <w:vAlign w:val="center"/>
            <w:hideMark/>
          </w:tcPr>
          <w:p w14:paraId="5760C9D1" w14:textId="77777777" w:rsidR="00BB474F" w:rsidRPr="00BB474F" w:rsidRDefault="00BB474F" w:rsidP="00200BF9">
            <w:pPr>
              <w:spacing w:before="0"/>
              <w:rPr>
                <w:sz w:val="20"/>
              </w:rPr>
            </w:pPr>
            <w:r w:rsidRPr="00BB474F">
              <w:rPr>
                <w:sz w:val="20"/>
              </w:rPr>
              <w:lastRenderedPageBreak/>
              <w:t>18TD0448</w:t>
            </w:r>
          </w:p>
        </w:tc>
        <w:tc>
          <w:tcPr>
            <w:tcW w:w="3452" w:type="pct"/>
            <w:shd w:val="clear" w:color="auto" w:fill="auto"/>
            <w:vAlign w:val="center"/>
            <w:hideMark/>
          </w:tcPr>
          <w:p w14:paraId="372B4778" w14:textId="77777777" w:rsidR="00BB474F" w:rsidRPr="00BB474F" w:rsidRDefault="00BB474F" w:rsidP="00200BF9">
            <w:pPr>
              <w:spacing w:before="0"/>
              <w:rPr>
                <w:sz w:val="20"/>
              </w:rPr>
            </w:pPr>
            <w:r w:rsidRPr="00BB474F">
              <w:rPr>
                <w:sz w:val="20"/>
              </w:rPr>
              <w:t>765 KV BUSHING FLASHOVERS CASE STUDY</w:t>
            </w:r>
          </w:p>
        </w:tc>
        <w:tc>
          <w:tcPr>
            <w:tcW w:w="989" w:type="pct"/>
            <w:shd w:val="clear" w:color="auto" w:fill="auto"/>
            <w:vAlign w:val="center"/>
            <w:hideMark/>
          </w:tcPr>
          <w:p w14:paraId="126199B1" w14:textId="77777777" w:rsidR="00BB474F" w:rsidRPr="00BB474F" w:rsidRDefault="00BB474F" w:rsidP="00200BF9">
            <w:pPr>
              <w:spacing w:before="0"/>
              <w:jc w:val="center"/>
              <w:rPr>
                <w:sz w:val="20"/>
              </w:rPr>
            </w:pPr>
            <w:r w:rsidRPr="00BB474F">
              <w:rPr>
                <w:sz w:val="20"/>
              </w:rPr>
              <w:t>Rejected</w:t>
            </w:r>
          </w:p>
        </w:tc>
      </w:tr>
    </w:tbl>
    <w:p w14:paraId="1413DC78" w14:textId="77777777" w:rsidR="000865F0" w:rsidRDefault="000865F0" w:rsidP="00B5257C">
      <w:pPr>
        <w:pStyle w:val="Heading3"/>
      </w:pPr>
      <w:r>
        <w:t>Panel Sessions</w:t>
      </w:r>
    </w:p>
    <w:p w14:paraId="3E14E385" w14:textId="5435192E" w:rsidR="00415741" w:rsidRDefault="00415741" w:rsidP="00415741">
      <w:r w:rsidRPr="00415741">
        <w:t xml:space="preserve">A listing of the panel </w:t>
      </w:r>
      <w:r>
        <w:t>applications</w:t>
      </w:r>
      <w:r w:rsidRPr="00415741">
        <w:t xml:space="preserve"> submitted, and the status of each submission is shown in Table 2.</w:t>
      </w:r>
    </w:p>
    <w:p w14:paraId="5A1339ED" w14:textId="77777777" w:rsidR="00415741" w:rsidRPr="00137876" w:rsidRDefault="00415741" w:rsidP="002D2748">
      <w:pPr>
        <w:tabs>
          <w:tab w:val="decimal" w:leader="dot" w:pos="3600"/>
        </w:tabs>
        <w:ind w:left="720"/>
      </w:pPr>
      <w:r w:rsidRPr="00137876">
        <w:t>Accepted</w:t>
      </w:r>
      <w:r w:rsidRPr="00137876">
        <w:tab/>
      </w:r>
      <w:r>
        <w:t>2</w:t>
      </w:r>
    </w:p>
    <w:p w14:paraId="2EA228F8" w14:textId="23888549" w:rsidR="00415741" w:rsidRPr="002D2748" w:rsidRDefault="00415741" w:rsidP="002D2748">
      <w:pPr>
        <w:tabs>
          <w:tab w:val="decimal" w:leader="dot" w:pos="3600"/>
        </w:tabs>
        <w:spacing w:before="0"/>
        <w:ind w:left="720"/>
        <w:rPr>
          <w:u w:val="single"/>
        </w:rPr>
      </w:pPr>
      <w:r w:rsidRPr="002D2748">
        <w:rPr>
          <w:u w:val="single"/>
        </w:rPr>
        <w:t>Rejected</w:t>
      </w:r>
      <w:r w:rsidRPr="002D2748">
        <w:rPr>
          <w:u w:val="single"/>
        </w:rPr>
        <w:tab/>
        <w:t>1</w:t>
      </w:r>
    </w:p>
    <w:p w14:paraId="476DF72B" w14:textId="5478F225" w:rsidR="002D2748" w:rsidRPr="00137876" w:rsidRDefault="002D2748" w:rsidP="00415741">
      <w:pPr>
        <w:tabs>
          <w:tab w:val="decimal" w:leader="dot" w:pos="3600"/>
        </w:tabs>
        <w:spacing w:before="0"/>
        <w:ind w:left="720"/>
      </w:pPr>
      <w:r>
        <w:t>Total Submissions</w:t>
      </w:r>
      <w:r>
        <w:tab/>
        <w:t>3</w:t>
      </w:r>
    </w:p>
    <w:p w14:paraId="1E0A6CD7" w14:textId="590FC2FF" w:rsidR="00EB2DA8" w:rsidRDefault="00EB2DA8" w:rsidP="00EB2DA8">
      <w:pPr>
        <w:pStyle w:val="Caption"/>
        <w:keepNext/>
      </w:pPr>
      <w:r>
        <w:t xml:space="preserve">Table </w:t>
      </w:r>
      <w:r w:rsidR="00604DE9">
        <w:fldChar w:fldCharType="begin"/>
      </w:r>
      <w:r w:rsidR="00604DE9">
        <w:instrText xml:space="preserve"> SEQ Table \* ARABIC </w:instrText>
      </w:r>
      <w:r w:rsidR="00604DE9">
        <w:fldChar w:fldCharType="separate"/>
      </w:r>
      <w:r w:rsidR="000A49CE">
        <w:rPr>
          <w:noProof/>
        </w:rPr>
        <w:t>2</w:t>
      </w:r>
      <w:r w:rsidR="00604DE9">
        <w:rPr>
          <w:noProof/>
        </w:rPr>
        <w:fldChar w:fldCharType="end"/>
      </w:r>
      <w:r>
        <w:t xml:space="preserve">:  Panel </w:t>
      </w:r>
      <w:r w:rsidR="00B67B37">
        <w:t>Sessions</w:t>
      </w:r>
    </w:p>
    <w:tbl>
      <w:tblPr>
        <w:tblW w:w="4942" w:type="pct"/>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8" w:type="dxa"/>
          <w:left w:w="115" w:type="dxa"/>
          <w:bottom w:w="58" w:type="dxa"/>
          <w:right w:w="115" w:type="dxa"/>
        </w:tblCellMar>
        <w:tblLook w:val="04A0" w:firstRow="1" w:lastRow="0" w:firstColumn="1" w:lastColumn="0" w:noHBand="0" w:noVBand="1"/>
      </w:tblPr>
      <w:tblGrid>
        <w:gridCol w:w="4801"/>
        <w:gridCol w:w="1271"/>
        <w:gridCol w:w="1783"/>
        <w:gridCol w:w="1908"/>
      </w:tblGrid>
      <w:tr w:rsidR="005F733C" w:rsidRPr="00C718E8" w14:paraId="598E8F18" w14:textId="77777777" w:rsidTr="00757B09">
        <w:trPr>
          <w:cantSplit/>
          <w:trHeight w:val="288"/>
          <w:tblHeader/>
        </w:trPr>
        <w:tc>
          <w:tcPr>
            <w:tcW w:w="2459" w:type="pct"/>
            <w:shd w:val="clear" w:color="auto" w:fill="F2F2F2" w:themeFill="background1" w:themeFillShade="F2"/>
            <w:vAlign w:val="center"/>
            <w:hideMark/>
          </w:tcPr>
          <w:p w14:paraId="10FE372B" w14:textId="77777777" w:rsidR="005F733C" w:rsidRPr="00BB6DAC" w:rsidRDefault="005F733C" w:rsidP="00757B09">
            <w:pPr>
              <w:pStyle w:val="TableParagraph"/>
              <w:jc w:val="center"/>
              <w:rPr>
                <w:b/>
              </w:rPr>
            </w:pPr>
            <w:r w:rsidRPr="00BB6DAC">
              <w:rPr>
                <w:b/>
              </w:rPr>
              <w:t>Title</w:t>
            </w:r>
          </w:p>
        </w:tc>
        <w:tc>
          <w:tcPr>
            <w:tcW w:w="651" w:type="pct"/>
            <w:shd w:val="clear" w:color="auto" w:fill="F2F2F2" w:themeFill="background1" w:themeFillShade="F2"/>
            <w:vAlign w:val="center"/>
            <w:hideMark/>
          </w:tcPr>
          <w:p w14:paraId="039735E8" w14:textId="77777777" w:rsidR="005F733C" w:rsidRPr="00BB6DAC" w:rsidRDefault="005F733C" w:rsidP="00757B09">
            <w:pPr>
              <w:pStyle w:val="TableParagraph"/>
              <w:jc w:val="center"/>
              <w:rPr>
                <w:b/>
              </w:rPr>
            </w:pPr>
            <w:r w:rsidRPr="00BB6DAC">
              <w:rPr>
                <w:b/>
              </w:rPr>
              <w:t>Duration</w:t>
            </w:r>
          </w:p>
        </w:tc>
        <w:tc>
          <w:tcPr>
            <w:tcW w:w="913" w:type="pct"/>
            <w:shd w:val="clear" w:color="auto" w:fill="F2F2F2" w:themeFill="background1" w:themeFillShade="F2"/>
            <w:vAlign w:val="center"/>
          </w:tcPr>
          <w:p w14:paraId="5AFBAB1E" w14:textId="77777777" w:rsidR="005F733C" w:rsidRPr="00BB6DAC" w:rsidRDefault="005F733C" w:rsidP="00757B09">
            <w:pPr>
              <w:pStyle w:val="TableParagraph"/>
              <w:jc w:val="center"/>
              <w:rPr>
                <w:b/>
              </w:rPr>
            </w:pPr>
            <w:r w:rsidRPr="00BB6DAC">
              <w:rPr>
                <w:b/>
              </w:rPr>
              <w:t>Moderator</w:t>
            </w:r>
          </w:p>
        </w:tc>
        <w:tc>
          <w:tcPr>
            <w:tcW w:w="977" w:type="pct"/>
            <w:shd w:val="clear" w:color="auto" w:fill="F2F2F2" w:themeFill="background1" w:themeFillShade="F2"/>
            <w:vAlign w:val="center"/>
            <w:hideMark/>
          </w:tcPr>
          <w:p w14:paraId="03E093B1" w14:textId="14FDE5A9" w:rsidR="005F733C" w:rsidRPr="00BB6DAC" w:rsidRDefault="00137876" w:rsidP="00757B09">
            <w:pPr>
              <w:pStyle w:val="TableParagraph"/>
              <w:jc w:val="center"/>
              <w:rPr>
                <w:b/>
              </w:rPr>
            </w:pPr>
            <w:r>
              <w:rPr>
                <w:b/>
              </w:rPr>
              <w:t>Sta</w:t>
            </w:r>
            <w:r w:rsidR="00415741">
              <w:rPr>
                <w:b/>
              </w:rPr>
              <w:t>tus</w:t>
            </w:r>
          </w:p>
        </w:tc>
      </w:tr>
      <w:tr w:rsidR="005F733C" w:rsidRPr="00C718E8" w14:paraId="14754351" w14:textId="77777777" w:rsidTr="000A49CE">
        <w:trPr>
          <w:cantSplit/>
          <w:trHeight w:val="360"/>
        </w:trPr>
        <w:tc>
          <w:tcPr>
            <w:tcW w:w="2459" w:type="pct"/>
            <w:shd w:val="clear" w:color="auto" w:fill="auto"/>
            <w:vAlign w:val="center"/>
          </w:tcPr>
          <w:p w14:paraId="4D14627C" w14:textId="77777777" w:rsidR="005F733C" w:rsidRPr="00C718E8" w:rsidRDefault="005F733C" w:rsidP="00BB6DAC">
            <w:pPr>
              <w:pStyle w:val="TableParagraph"/>
            </w:pPr>
            <w:r>
              <w:t>Keeping grids resilient – Transformer exchange within a few days and further options to maximize network stability (along the entire energy value chain)</w:t>
            </w:r>
          </w:p>
        </w:tc>
        <w:tc>
          <w:tcPr>
            <w:tcW w:w="651" w:type="pct"/>
            <w:shd w:val="clear" w:color="000000" w:fill="FFFFFF"/>
            <w:vAlign w:val="center"/>
          </w:tcPr>
          <w:p w14:paraId="221315ED" w14:textId="34E4B46B" w:rsidR="005F733C" w:rsidRPr="00C718E8" w:rsidRDefault="005F733C" w:rsidP="00670D59">
            <w:pPr>
              <w:pStyle w:val="TableParagraph"/>
              <w:jc w:val="center"/>
            </w:pPr>
            <w:r>
              <w:t xml:space="preserve">4 </w:t>
            </w:r>
            <w:r w:rsidR="008B0C8C">
              <w:t>hr.</w:t>
            </w:r>
          </w:p>
        </w:tc>
        <w:tc>
          <w:tcPr>
            <w:tcW w:w="913" w:type="pct"/>
            <w:shd w:val="clear" w:color="000000" w:fill="FFFFFF"/>
            <w:vAlign w:val="center"/>
          </w:tcPr>
          <w:p w14:paraId="513CE7A2" w14:textId="77777777" w:rsidR="005F733C" w:rsidRPr="00C718E8" w:rsidRDefault="005F733C" w:rsidP="00670D59">
            <w:pPr>
              <w:pStyle w:val="TableParagraph"/>
              <w:jc w:val="center"/>
            </w:pPr>
            <w:r>
              <w:t>E. Schweiger</w:t>
            </w:r>
          </w:p>
        </w:tc>
        <w:tc>
          <w:tcPr>
            <w:tcW w:w="977" w:type="pct"/>
            <w:shd w:val="clear" w:color="000000" w:fill="FFFFFF"/>
            <w:noWrap/>
            <w:vAlign w:val="center"/>
          </w:tcPr>
          <w:p w14:paraId="288F1715" w14:textId="663DACD1" w:rsidR="005F733C" w:rsidRPr="00D869CD" w:rsidRDefault="005F733C" w:rsidP="00670D59">
            <w:pPr>
              <w:pStyle w:val="TableParagraph"/>
              <w:jc w:val="center"/>
            </w:pPr>
            <w:r w:rsidRPr="00D869CD">
              <w:t>Accept</w:t>
            </w:r>
            <w:r w:rsidR="00B67B37">
              <w:t>ed</w:t>
            </w:r>
          </w:p>
        </w:tc>
      </w:tr>
      <w:tr w:rsidR="005F733C" w:rsidRPr="00C718E8" w14:paraId="0E921403" w14:textId="77777777" w:rsidTr="000A49CE">
        <w:trPr>
          <w:cantSplit/>
          <w:trHeight w:val="360"/>
        </w:trPr>
        <w:tc>
          <w:tcPr>
            <w:tcW w:w="2459" w:type="pct"/>
            <w:shd w:val="clear" w:color="auto" w:fill="auto"/>
            <w:vAlign w:val="center"/>
          </w:tcPr>
          <w:p w14:paraId="71A44739" w14:textId="77777777" w:rsidR="005F733C" w:rsidRPr="00C718E8" w:rsidRDefault="005F733C" w:rsidP="00BB6DAC">
            <w:pPr>
              <w:pStyle w:val="TableParagraph"/>
            </w:pPr>
            <w:r>
              <w:t>I</w:t>
            </w:r>
            <w:r w:rsidRPr="005F733C">
              <w:t>mproving grid stability with variable shunt reactors and phase shifters</w:t>
            </w:r>
          </w:p>
        </w:tc>
        <w:tc>
          <w:tcPr>
            <w:tcW w:w="651" w:type="pct"/>
            <w:shd w:val="clear" w:color="000000" w:fill="FFFFFF"/>
            <w:vAlign w:val="center"/>
          </w:tcPr>
          <w:p w14:paraId="464D5CE1" w14:textId="59319AD2" w:rsidR="005F733C" w:rsidRPr="00C718E8" w:rsidRDefault="005F733C" w:rsidP="00670D59">
            <w:pPr>
              <w:pStyle w:val="TableParagraph"/>
              <w:jc w:val="center"/>
            </w:pPr>
            <w:r>
              <w:t xml:space="preserve">2 </w:t>
            </w:r>
            <w:r w:rsidR="008B0C8C">
              <w:t>hr.</w:t>
            </w:r>
          </w:p>
        </w:tc>
        <w:tc>
          <w:tcPr>
            <w:tcW w:w="913" w:type="pct"/>
            <w:shd w:val="clear" w:color="000000" w:fill="FFFFFF"/>
            <w:vAlign w:val="center"/>
          </w:tcPr>
          <w:p w14:paraId="20F0F14B" w14:textId="77777777" w:rsidR="005F733C" w:rsidRPr="00C718E8" w:rsidRDefault="005F733C" w:rsidP="00670D59">
            <w:pPr>
              <w:pStyle w:val="TableParagraph"/>
              <w:jc w:val="center"/>
            </w:pPr>
            <w:r>
              <w:t>J McIver</w:t>
            </w:r>
          </w:p>
        </w:tc>
        <w:tc>
          <w:tcPr>
            <w:tcW w:w="977" w:type="pct"/>
            <w:shd w:val="clear" w:color="000000" w:fill="FFFFFF"/>
            <w:noWrap/>
            <w:vAlign w:val="center"/>
          </w:tcPr>
          <w:p w14:paraId="56657DA5" w14:textId="30919BBB" w:rsidR="005F733C" w:rsidRPr="00D869CD" w:rsidRDefault="005F733C" w:rsidP="00670D59">
            <w:pPr>
              <w:pStyle w:val="TableParagraph"/>
              <w:jc w:val="center"/>
            </w:pPr>
            <w:r w:rsidRPr="00D869CD">
              <w:t>Accept</w:t>
            </w:r>
            <w:r w:rsidR="00B67B37">
              <w:t>ed</w:t>
            </w:r>
          </w:p>
        </w:tc>
      </w:tr>
      <w:tr w:rsidR="005F733C" w:rsidRPr="00C718E8" w14:paraId="53EADF28" w14:textId="77777777" w:rsidTr="000A49CE">
        <w:trPr>
          <w:cantSplit/>
          <w:trHeight w:val="360"/>
        </w:trPr>
        <w:tc>
          <w:tcPr>
            <w:tcW w:w="2459" w:type="pct"/>
            <w:shd w:val="clear" w:color="auto" w:fill="auto"/>
            <w:vAlign w:val="center"/>
          </w:tcPr>
          <w:p w14:paraId="15166E3D" w14:textId="77777777" w:rsidR="005F733C" w:rsidRPr="00C718E8" w:rsidRDefault="005F733C" w:rsidP="00BB6DAC">
            <w:pPr>
              <w:pStyle w:val="TableParagraph"/>
            </w:pPr>
            <w:r w:rsidRPr="005F733C">
              <w:t>Welcome to the future: sustainable urban energy</w:t>
            </w:r>
          </w:p>
        </w:tc>
        <w:tc>
          <w:tcPr>
            <w:tcW w:w="651" w:type="pct"/>
            <w:shd w:val="clear" w:color="auto" w:fill="auto"/>
            <w:vAlign w:val="center"/>
          </w:tcPr>
          <w:p w14:paraId="188FE803" w14:textId="1EAA21F9" w:rsidR="005F733C" w:rsidRPr="00C718E8" w:rsidRDefault="005F733C" w:rsidP="00670D59">
            <w:pPr>
              <w:pStyle w:val="TableParagraph"/>
              <w:jc w:val="center"/>
            </w:pPr>
            <w:r>
              <w:t xml:space="preserve">4 </w:t>
            </w:r>
            <w:r w:rsidR="008B0C8C">
              <w:t>hr.</w:t>
            </w:r>
          </w:p>
        </w:tc>
        <w:tc>
          <w:tcPr>
            <w:tcW w:w="913" w:type="pct"/>
            <w:vAlign w:val="center"/>
          </w:tcPr>
          <w:p w14:paraId="63C48A5D" w14:textId="77777777" w:rsidR="005F733C" w:rsidRPr="00C718E8" w:rsidRDefault="005F733C" w:rsidP="00670D59">
            <w:pPr>
              <w:pStyle w:val="TableParagraph"/>
              <w:jc w:val="center"/>
            </w:pPr>
            <w:r>
              <w:t>J McIver</w:t>
            </w:r>
          </w:p>
        </w:tc>
        <w:tc>
          <w:tcPr>
            <w:tcW w:w="977" w:type="pct"/>
            <w:shd w:val="clear" w:color="000000" w:fill="FFFFFF"/>
            <w:noWrap/>
            <w:vAlign w:val="center"/>
          </w:tcPr>
          <w:p w14:paraId="05FCF25F" w14:textId="4F300700" w:rsidR="005F733C" w:rsidRPr="00D869CD" w:rsidRDefault="005F733C" w:rsidP="00670D59">
            <w:pPr>
              <w:pStyle w:val="TableParagraph"/>
              <w:jc w:val="center"/>
            </w:pPr>
            <w:r w:rsidRPr="00D869CD">
              <w:t>Reject</w:t>
            </w:r>
            <w:r w:rsidR="00B67B37">
              <w:t>ed</w:t>
            </w:r>
          </w:p>
        </w:tc>
      </w:tr>
    </w:tbl>
    <w:p w14:paraId="546E1225" w14:textId="08CC8318" w:rsidR="00CB0283" w:rsidRDefault="00CB0283" w:rsidP="00B5257C">
      <w:pPr>
        <w:pStyle w:val="Heading3"/>
      </w:pPr>
      <w:r>
        <w:t>Poster Session Opportunity</w:t>
      </w:r>
    </w:p>
    <w:p w14:paraId="04990498" w14:textId="282908AE" w:rsidR="009169F4" w:rsidRDefault="00CB0283" w:rsidP="009169F4">
      <w:r>
        <w:t>PES Working Groups are invited to share their activities through poster presentations.  Interested WGs need only show up to the session with their printed poster (max size 48 in. by 48 in.).</w:t>
      </w:r>
      <w:r w:rsidR="00A6148B">
        <w:t xml:space="preserve">  </w:t>
      </w:r>
    </w:p>
    <w:p w14:paraId="78585B0A" w14:textId="579C3568" w:rsidR="009169F4" w:rsidRDefault="001A6B70" w:rsidP="00B5257C">
      <w:pPr>
        <w:pStyle w:val="Heading2"/>
      </w:pPr>
      <w:r w:rsidRPr="0043017F">
        <w:t>IEEE</w:t>
      </w:r>
      <w:r w:rsidR="00A6148B">
        <w:t xml:space="preserve"> </w:t>
      </w:r>
      <w:r w:rsidRPr="0043017F">
        <w:t>PES General Meeting</w:t>
      </w:r>
    </w:p>
    <w:p w14:paraId="747FE7A8" w14:textId="0385DCBA" w:rsidR="001A6B70" w:rsidRPr="0043017F" w:rsidRDefault="001A6B70" w:rsidP="009169F4">
      <w:pPr>
        <w:spacing w:before="0"/>
        <w:ind w:left="720"/>
      </w:pPr>
      <w:r w:rsidRPr="0043017F">
        <w:t xml:space="preserve">August </w:t>
      </w:r>
      <w:r w:rsidR="0043017F" w:rsidRPr="0043017F">
        <w:t xml:space="preserve">5 </w:t>
      </w:r>
      <w:r w:rsidR="000865F0">
        <w:t>–</w:t>
      </w:r>
      <w:r w:rsidR="0043017F" w:rsidRPr="0043017F">
        <w:t xml:space="preserve"> 9</w:t>
      </w:r>
      <w:r w:rsidRPr="0043017F">
        <w:t>, 2018, Portland, Oreg</w:t>
      </w:r>
      <w:r w:rsidR="0043017F" w:rsidRPr="0043017F">
        <w:t>o</w:t>
      </w:r>
      <w:r w:rsidRPr="0043017F">
        <w:t>n</w:t>
      </w:r>
    </w:p>
    <w:p w14:paraId="75E49927" w14:textId="18C10D51" w:rsidR="000865F0" w:rsidRDefault="000865F0" w:rsidP="00B5257C">
      <w:pPr>
        <w:pStyle w:val="Heading3"/>
      </w:pPr>
      <w:r>
        <w:t>Paper Submittals</w:t>
      </w:r>
    </w:p>
    <w:p w14:paraId="69E707F9" w14:textId="7DE5D9E1" w:rsidR="00A55856" w:rsidRDefault="00A55856" w:rsidP="00A55856">
      <w:r w:rsidRPr="00D869CD">
        <w:t>Paper reviews a</w:t>
      </w:r>
      <w:r>
        <w:t>nd accept/reject decisions were not yet final</w:t>
      </w:r>
      <w:r w:rsidRPr="00D869CD">
        <w:t xml:space="preserve"> at the writing of this report.</w:t>
      </w:r>
    </w:p>
    <w:p w14:paraId="6044DD73" w14:textId="77777777" w:rsidR="003A0550" w:rsidRPr="00875F5A" w:rsidRDefault="003A0550" w:rsidP="002D2748">
      <w:pPr>
        <w:tabs>
          <w:tab w:val="decimal" w:leader="dot" w:pos="3600"/>
        </w:tabs>
        <w:spacing w:before="120"/>
        <w:ind w:left="720"/>
      </w:pPr>
      <w:r w:rsidRPr="00875F5A">
        <w:t>Accepted</w:t>
      </w:r>
      <w:r w:rsidRPr="00875F5A">
        <w:tab/>
        <w:t>11</w:t>
      </w:r>
    </w:p>
    <w:p w14:paraId="4CF06C8D" w14:textId="77777777" w:rsidR="00A55856" w:rsidRPr="00875F5A" w:rsidRDefault="00A55856" w:rsidP="003A0550">
      <w:pPr>
        <w:tabs>
          <w:tab w:val="decimal" w:leader="dot" w:pos="3600"/>
        </w:tabs>
        <w:spacing w:before="0"/>
        <w:ind w:left="720"/>
      </w:pPr>
      <w:r w:rsidRPr="00875F5A">
        <w:t>Rejected</w:t>
      </w:r>
      <w:r w:rsidR="003A0550" w:rsidRPr="00875F5A">
        <w:tab/>
        <w:t>4</w:t>
      </w:r>
    </w:p>
    <w:p w14:paraId="3E814D04" w14:textId="2E8C76E3" w:rsidR="003A0550" w:rsidRPr="00875F5A" w:rsidRDefault="003A0550" w:rsidP="003A0550">
      <w:pPr>
        <w:tabs>
          <w:tab w:val="decimal" w:leader="dot" w:pos="3600"/>
        </w:tabs>
        <w:spacing w:before="0"/>
        <w:ind w:left="720"/>
      </w:pPr>
      <w:r w:rsidRPr="00875F5A">
        <w:t>Withdrawn</w:t>
      </w:r>
      <w:r w:rsidR="00ED3F1F" w:rsidRPr="00875F5A">
        <w:t xml:space="preserve"> by Author</w:t>
      </w:r>
      <w:r w:rsidRPr="00875F5A">
        <w:tab/>
      </w:r>
      <w:r w:rsidR="00ED3F1F" w:rsidRPr="00875F5A">
        <w:t>1</w:t>
      </w:r>
    </w:p>
    <w:p w14:paraId="015B8091" w14:textId="3EEE5E58" w:rsidR="00ED3F1F" w:rsidRPr="002D2748" w:rsidRDefault="00ED3F1F" w:rsidP="003A0550">
      <w:pPr>
        <w:tabs>
          <w:tab w:val="decimal" w:leader="dot" w:pos="3600"/>
        </w:tabs>
        <w:spacing w:before="0"/>
        <w:ind w:left="720"/>
        <w:rPr>
          <w:u w:val="single"/>
        </w:rPr>
      </w:pPr>
      <w:r w:rsidRPr="002D2748">
        <w:rPr>
          <w:u w:val="single"/>
        </w:rPr>
        <w:t>Withdrawn by Admin</w:t>
      </w:r>
      <w:r w:rsidRPr="002D2748">
        <w:rPr>
          <w:u w:val="single"/>
        </w:rPr>
        <w:tab/>
      </w:r>
      <w:r w:rsidR="00875F5A" w:rsidRPr="002D2748">
        <w:rPr>
          <w:u w:val="single"/>
        </w:rPr>
        <w:t>4</w:t>
      </w:r>
    </w:p>
    <w:p w14:paraId="59A6204C" w14:textId="68601863" w:rsidR="002D2748" w:rsidRPr="00875F5A" w:rsidRDefault="002D2748" w:rsidP="003A0550">
      <w:pPr>
        <w:tabs>
          <w:tab w:val="decimal" w:leader="dot" w:pos="3600"/>
        </w:tabs>
        <w:spacing w:before="0"/>
        <w:ind w:left="720"/>
      </w:pPr>
      <w:r>
        <w:t>Total Submissions</w:t>
      </w:r>
      <w:r>
        <w:tab/>
        <w:t>20</w:t>
      </w:r>
    </w:p>
    <w:p w14:paraId="01746C99" w14:textId="6D13EF79" w:rsidR="003A0550" w:rsidRPr="000865F0" w:rsidRDefault="003A0550" w:rsidP="002D2748">
      <w:pPr>
        <w:tabs>
          <w:tab w:val="decimal" w:leader="dot" w:pos="3600"/>
        </w:tabs>
        <w:spacing w:before="120"/>
        <w:ind w:left="720"/>
      </w:pPr>
      <w:r w:rsidRPr="000865F0">
        <w:t>IEEE Transaction Papers</w:t>
      </w:r>
      <w:r w:rsidRPr="000865F0">
        <w:tab/>
        <w:t>2</w:t>
      </w:r>
      <w:r w:rsidR="009C1FD8">
        <w:t xml:space="preserve"> (included in Accepted total)</w:t>
      </w:r>
    </w:p>
    <w:p w14:paraId="6A76CA66" w14:textId="722FC8EC" w:rsidR="00A55856" w:rsidRDefault="00A55856" w:rsidP="00A55856">
      <w:pPr>
        <w:pStyle w:val="Caption"/>
        <w:keepNext/>
      </w:pPr>
      <w:r>
        <w:t xml:space="preserve">Table </w:t>
      </w:r>
      <w:fldSimple w:instr=" SEQ Table \* ARABIC ">
        <w:r w:rsidR="000A49CE">
          <w:rPr>
            <w:noProof/>
          </w:rPr>
          <w:t>3</w:t>
        </w:r>
      </w:fldSimple>
      <w:r w:rsidR="000C0751">
        <w:t>: G</w:t>
      </w:r>
      <w:r w:rsidR="00A6148B">
        <w:t xml:space="preserve">eneral </w:t>
      </w:r>
      <w:r w:rsidR="000C0751">
        <w:t>M</w:t>
      </w:r>
      <w:r w:rsidR="00A6148B">
        <w:t>eeting</w:t>
      </w:r>
      <w:r w:rsidR="000C0751">
        <w:t xml:space="preserve"> Pa</w:t>
      </w:r>
      <w:r w:rsidR="000D0C50">
        <w:t>p</w:t>
      </w:r>
      <w:r w:rsidR="000C0751">
        <w:t>ers Submitted</w:t>
      </w:r>
    </w:p>
    <w:tbl>
      <w:tblPr>
        <w:tblW w:w="4942" w:type="pct"/>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8" w:type="dxa"/>
          <w:left w:w="115" w:type="dxa"/>
          <w:bottom w:w="58" w:type="dxa"/>
          <w:right w:w="115" w:type="dxa"/>
        </w:tblCellMar>
        <w:tblLook w:val="04A0" w:firstRow="1" w:lastRow="0" w:firstColumn="1" w:lastColumn="0" w:noHBand="0" w:noVBand="1"/>
      </w:tblPr>
      <w:tblGrid>
        <w:gridCol w:w="1510"/>
        <w:gridCol w:w="6373"/>
        <w:gridCol w:w="1880"/>
      </w:tblGrid>
      <w:tr w:rsidR="003A0550" w:rsidRPr="00B67E5A" w14:paraId="65539F55" w14:textId="77777777" w:rsidTr="00757B09">
        <w:trPr>
          <w:cantSplit/>
          <w:trHeight w:val="288"/>
          <w:tblHeader/>
        </w:trPr>
        <w:tc>
          <w:tcPr>
            <w:tcW w:w="773" w:type="pct"/>
            <w:shd w:val="clear" w:color="auto" w:fill="F2F2F2" w:themeFill="background1" w:themeFillShade="F2"/>
            <w:vAlign w:val="center"/>
            <w:hideMark/>
          </w:tcPr>
          <w:p w14:paraId="6A3F9A52" w14:textId="77777777" w:rsidR="003A0550" w:rsidRPr="000D0C50" w:rsidRDefault="003A0550" w:rsidP="00757B09">
            <w:pPr>
              <w:pStyle w:val="TableParagraph"/>
              <w:jc w:val="center"/>
              <w:rPr>
                <w:b/>
              </w:rPr>
            </w:pPr>
            <w:r w:rsidRPr="000D0C50">
              <w:rPr>
                <w:b/>
              </w:rPr>
              <w:t>Paper</w:t>
            </w:r>
          </w:p>
        </w:tc>
        <w:tc>
          <w:tcPr>
            <w:tcW w:w="3264" w:type="pct"/>
            <w:shd w:val="clear" w:color="auto" w:fill="F2F2F2" w:themeFill="background1" w:themeFillShade="F2"/>
            <w:vAlign w:val="center"/>
            <w:hideMark/>
          </w:tcPr>
          <w:p w14:paraId="25103D58" w14:textId="77777777" w:rsidR="003A0550" w:rsidRPr="000D0C50" w:rsidRDefault="003A0550" w:rsidP="00757B09">
            <w:pPr>
              <w:pStyle w:val="TableParagraph"/>
              <w:jc w:val="center"/>
              <w:rPr>
                <w:b/>
              </w:rPr>
            </w:pPr>
            <w:r w:rsidRPr="000D0C50">
              <w:rPr>
                <w:b/>
              </w:rPr>
              <w:t>Title</w:t>
            </w:r>
          </w:p>
        </w:tc>
        <w:tc>
          <w:tcPr>
            <w:tcW w:w="963" w:type="pct"/>
            <w:shd w:val="clear" w:color="auto" w:fill="F2F2F2" w:themeFill="background1" w:themeFillShade="F2"/>
            <w:vAlign w:val="center"/>
            <w:hideMark/>
          </w:tcPr>
          <w:p w14:paraId="7B0E0E9D" w14:textId="4A7A7801" w:rsidR="003A0550" w:rsidRPr="000D0C50" w:rsidRDefault="000865F0" w:rsidP="00757B09">
            <w:pPr>
              <w:pStyle w:val="TableParagraph"/>
              <w:jc w:val="center"/>
              <w:rPr>
                <w:b/>
              </w:rPr>
            </w:pPr>
            <w:r>
              <w:rPr>
                <w:b/>
              </w:rPr>
              <w:t>Recommendation</w:t>
            </w:r>
          </w:p>
        </w:tc>
      </w:tr>
      <w:tr w:rsidR="009C1FD8" w:rsidRPr="00B67E5A" w14:paraId="732982F9" w14:textId="77777777" w:rsidTr="000A49CE">
        <w:trPr>
          <w:cantSplit/>
          <w:trHeight w:val="360"/>
        </w:trPr>
        <w:tc>
          <w:tcPr>
            <w:tcW w:w="773" w:type="pct"/>
            <w:shd w:val="clear" w:color="auto" w:fill="auto"/>
            <w:vAlign w:val="center"/>
          </w:tcPr>
          <w:p w14:paraId="6F15DA4F" w14:textId="77777777" w:rsidR="009C1FD8" w:rsidRPr="00B67E5A" w:rsidRDefault="009C1FD8" w:rsidP="00AE0192">
            <w:pPr>
              <w:pStyle w:val="TableParagraph"/>
            </w:pPr>
            <w:r>
              <w:t>18PESGM0090</w:t>
            </w:r>
          </w:p>
        </w:tc>
        <w:tc>
          <w:tcPr>
            <w:tcW w:w="3264" w:type="pct"/>
            <w:shd w:val="clear" w:color="auto" w:fill="auto"/>
            <w:vAlign w:val="center"/>
          </w:tcPr>
          <w:p w14:paraId="3464FF76" w14:textId="77777777" w:rsidR="009C1FD8" w:rsidRPr="00B67E5A" w:rsidRDefault="009C1FD8" w:rsidP="00AE0192">
            <w:pPr>
              <w:pStyle w:val="TableParagraph"/>
            </w:pPr>
            <w:r w:rsidRPr="00B67E5A">
              <w:t>Prediction of Dissolved Gases Concentration in Transformer Oil Based on KPCA_IFOA_GRNN Model</w:t>
            </w:r>
          </w:p>
        </w:tc>
        <w:tc>
          <w:tcPr>
            <w:tcW w:w="963" w:type="pct"/>
            <w:shd w:val="clear" w:color="auto" w:fill="auto"/>
            <w:vAlign w:val="center"/>
          </w:tcPr>
          <w:p w14:paraId="21A93380" w14:textId="77777777" w:rsidR="009C1FD8" w:rsidRPr="00B67E5A" w:rsidRDefault="009C1FD8" w:rsidP="000D0C50">
            <w:pPr>
              <w:pStyle w:val="TableParagraph"/>
              <w:jc w:val="center"/>
            </w:pPr>
            <w:r w:rsidRPr="00B67E5A">
              <w:t>Rejected</w:t>
            </w:r>
          </w:p>
        </w:tc>
      </w:tr>
      <w:tr w:rsidR="009C1FD8" w:rsidRPr="00B67E5A" w14:paraId="5D9ED430" w14:textId="77777777" w:rsidTr="000A49CE">
        <w:trPr>
          <w:cantSplit/>
          <w:trHeight w:val="360"/>
        </w:trPr>
        <w:tc>
          <w:tcPr>
            <w:tcW w:w="773" w:type="pct"/>
            <w:shd w:val="clear" w:color="auto" w:fill="auto"/>
            <w:vAlign w:val="center"/>
          </w:tcPr>
          <w:p w14:paraId="1A92839E" w14:textId="77777777" w:rsidR="009C1FD8" w:rsidRPr="00B67E5A" w:rsidRDefault="009C1FD8" w:rsidP="00AE0192">
            <w:pPr>
              <w:pStyle w:val="TableParagraph"/>
            </w:pPr>
            <w:r w:rsidRPr="00B67E5A">
              <w:rPr>
                <w:color w:val="000000"/>
                <w:shd w:val="clear" w:color="auto" w:fill="FFFFFF"/>
              </w:rPr>
              <w:t>18PESGM0148</w:t>
            </w:r>
          </w:p>
        </w:tc>
        <w:tc>
          <w:tcPr>
            <w:tcW w:w="3264" w:type="pct"/>
            <w:shd w:val="clear" w:color="auto" w:fill="auto"/>
            <w:vAlign w:val="center"/>
          </w:tcPr>
          <w:p w14:paraId="01D0134D" w14:textId="77777777" w:rsidR="009C1FD8" w:rsidRPr="00B67E5A" w:rsidRDefault="009C1FD8" w:rsidP="00AE0192">
            <w:pPr>
              <w:pStyle w:val="TableParagraph"/>
            </w:pPr>
            <w:r w:rsidRPr="00B67E5A">
              <w:t>Power System Compensation Using a Power Electronics Integrated Transformer</w:t>
            </w:r>
          </w:p>
        </w:tc>
        <w:tc>
          <w:tcPr>
            <w:tcW w:w="963" w:type="pct"/>
            <w:shd w:val="clear" w:color="auto" w:fill="auto"/>
            <w:vAlign w:val="center"/>
          </w:tcPr>
          <w:p w14:paraId="26812EB7" w14:textId="77777777" w:rsidR="009C1FD8" w:rsidRDefault="009C1FD8" w:rsidP="000D0C50">
            <w:pPr>
              <w:pStyle w:val="TableParagraph"/>
              <w:jc w:val="center"/>
            </w:pPr>
            <w:r w:rsidRPr="00B67E5A">
              <w:t>Accepted</w:t>
            </w:r>
          </w:p>
          <w:p w14:paraId="44E9EFBC" w14:textId="77777777" w:rsidR="009C1FD8" w:rsidRPr="00B67E5A" w:rsidRDefault="009C1FD8" w:rsidP="000D0C50">
            <w:pPr>
              <w:pStyle w:val="TableParagraph"/>
              <w:jc w:val="center"/>
            </w:pPr>
            <w:r>
              <w:t>(Transaction Paper)</w:t>
            </w:r>
          </w:p>
        </w:tc>
      </w:tr>
      <w:tr w:rsidR="009C1FD8" w:rsidRPr="00B67E5A" w14:paraId="40C922EB" w14:textId="77777777" w:rsidTr="000A49CE">
        <w:trPr>
          <w:cantSplit/>
          <w:trHeight w:val="360"/>
        </w:trPr>
        <w:tc>
          <w:tcPr>
            <w:tcW w:w="773" w:type="pct"/>
            <w:shd w:val="clear" w:color="auto" w:fill="auto"/>
            <w:vAlign w:val="center"/>
          </w:tcPr>
          <w:p w14:paraId="313F2DEC" w14:textId="77777777" w:rsidR="009C1FD8" w:rsidRPr="00B67E5A" w:rsidRDefault="009C1FD8" w:rsidP="00AE0192">
            <w:pPr>
              <w:pStyle w:val="TableParagraph"/>
            </w:pPr>
            <w:r>
              <w:t>18PESGM0213</w:t>
            </w:r>
          </w:p>
        </w:tc>
        <w:tc>
          <w:tcPr>
            <w:tcW w:w="3264" w:type="pct"/>
            <w:shd w:val="clear" w:color="auto" w:fill="auto"/>
            <w:vAlign w:val="center"/>
          </w:tcPr>
          <w:p w14:paraId="5FD19392" w14:textId="77777777" w:rsidR="009C1FD8" w:rsidRPr="00AE0192" w:rsidRDefault="009C1FD8" w:rsidP="00AE0192">
            <w:pPr>
              <w:pStyle w:val="TableParagraph"/>
            </w:pPr>
            <w:r w:rsidRPr="00AE0192">
              <w:t>A Rapid UV-Vis Spectrometry based Method for the Detection of Furfural in Transformer Oil</w:t>
            </w:r>
          </w:p>
        </w:tc>
        <w:tc>
          <w:tcPr>
            <w:tcW w:w="963" w:type="pct"/>
            <w:shd w:val="clear" w:color="auto" w:fill="auto"/>
            <w:vAlign w:val="center"/>
          </w:tcPr>
          <w:p w14:paraId="061723E8" w14:textId="77777777" w:rsidR="009C1FD8" w:rsidRPr="00B67E5A" w:rsidRDefault="009C1FD8" w:rsidP="000D0C50">
            <w:pPr>
              <w:pStyle w:val="TableParagraph"/>
              <w:jc w:val="center"/>
            </w:pPr>
            <w:r w:rsidRPr="00B67E5A">
              <w:t>Withdrawn by Admin</w:t>
            </w:r>
          </w:p>
        </w:tc>
      </w:tr>
      <w:tr w:rsidR="009C1FD8" w:rsidRPr="00B67E5A" w14:paraId="48617CA6" w14:textId="77777777" w:rsidTr="000A49CE">
        <w:trPr>
          <w:cantSplit/>
          <w:trHeight w:val="360"/>
        </w:trPr>
        <w:tc>
          <w:tcPr>
            <w:tcW w:w="773" w:type="pct"/>
            <w:shd w:val="clear" w:color="auto" w:fill="auto"/>
            <w:vAlign w:val="center"/>
          </w:tcPr>
          <w:p w14:paraId="7F4D6E94" w14:textId="77777777" w:rsidR="009C1FD8" w:rsidRPr="00B67E5A" w:rsidRDefault="009C1FD8" w:rsidP="00AE0192">
            <w:pPr>
              <w:pStyle w:val="TableParagraph"/>
            </w:pPr>
            <w:r w:rsidRPr="00B67E5A">
              <w:rPr>
                <w:color w:val="000000"/>
                <w:shd w:val="clear" w:color="auto" w:fill="FFFFFF"/>
              </w:rPr>
              <w:t>18PESGM0240</w:t>
            </w:r>
          </w:p>
        </w:tc>
        <w:tc>
          <w:tcPr>
            <w:tcW w:w="3264" w:type="pct"/>
            <w:shd w:val="clear" w:color="auto" w:fill="auto"/>
            <w:vAlign w:val="center"/>
          </w:tcPr>
          <w:p w14:paraId="58982278" w14:textId="77777777" w:rsidR="009C1FD8" w:rsidRPr="00AE0192" w:rsidRDefault="009C1FD8" w:rsidP="00AE0192">
            <w:pPr>
              <w:pStyle w:val="TableParagraph"/>
            </w:pPr>
            <w:r w:rsidRPr="00AE0192">
              <w:t>Research on Detection and Maintenance Strategy for Operational Defect of 110~500 kV Main Transformer Oil Temperature Gauge</w:t>
            </w:r>
          </w:p>
        </w:tc>
        <w:tc>
          <w:tcPr>
            <w:tcW w:w="963" w:type="pct"/>
            <w:shd w:val="clear" w:color="auto" w:fill="auto"/>
            <w:vAlign w:val="bottom"/>
          </w:tcPr>
          <w:p w14:paraId="5F6F356D" w14:textId="77777777" w:rsidR="009C1FD8" w:rsidRPr="00B67E5A" w:rsidRDefault="009C1FD8" w:rsidP="000D0C50">
            <w:pPr>
              <w:pStyle w:val="TableParagraph"/>
              <w:jc w:val="center"/>
            </w:pPr>
            <w:r w:rsidRPr="00B67E5A">
              <w:t>Withdrawn by Admin</w:t>
            </w:r>
          </w:p>
        </w:tc>
      </w:tr>
      <w:tr w:rsidR="009C1FD8" w:rsidRPr="00B67E5A" w14:paraId="635FE671" w14:textId="77777777" w:rsidTr="000A49CE">
        <w:trPr>
          <w:cantSplit/>
          <w:trHeight w:val="360"/>
        </w:trPr>
        <w:tc>
          <w:tcPr>
            <w:tcW w:w="773" w:type="pct"/>
            <w:shd w:val="clear" w:color="auto" w:fill="auto"/>
            <w:vAlign w:val="center"/>
          </w:tcPr>
          <w:p w14:paraId="5EF7D547" w14:textId="77777777" w:rsidR="009C1FD8" w:rsidRPr="00B67E5A" w:rsidRDefault="009C1FD8" w:rsidP="00AE0192">
            <w:pPr>
              <w:pStyle w:val="TableParagraph"/>
              <w:rPr>
                <w:color w:val="000000"/>
              </w:rPr>
            </w:pPr>
            <w:r w:rsidRPr="00B67E5A">
              <w:rPr>
                <w:color w:val="000000"/>
              </w:rPr>
              <w:lastRenderedPageBreak/>
              <w:t>18PESGM0323</w:t>
            </w:r>
          </w:p>
        </w:tc>
        <w:tc>
          <w:tcPr>
            <w:tcW w:w="3264" w:type="pct"/>
            <w:shd w:val="clear" w:color="auto" w:fill="auto"/>
            <w:vAlign w:val="center"/>
          </w:tcPr>
          <w:p w14:paraId="64BDF0FD" w14:textId="77777777" w:rsidR="009C1FD8" w:rsidRPr="00AE0192" w:rsidRDefault="009C1FD8" w:rsidP="00AE0192">
            <w:pPr>
              <w:pStyle w:val="TableParagraph"/>
            </w:pPr>
            <w:r w:rsidRPr="00AE0192">
              <w:t>Estimation of Design Parameters of Single-Phase Distribution Transformers from Terminal Measurements</w:t>
            </w:r>
          </w:p>
        </w:tc>
        <w:tc>
          <w:tcPr>
            <w:tcW w:w="963" w:type="pct"/>
            <w:shd w:val="clear" w:color="auto" w:fill="auto"/>
            <w:vAlign w:val="center"/>
          </w:tcPr>
          <w:p w14:paraId="65D2FED6" w14:textId="77777777" w:rsidR="009C1FD8" w:rsidRDefault="009C1FD8" w:rsidP="000D0C50">
            <w:pPr>
              <w:pStyle w:val="TableParagraph"/>
              <w:jc w:val="center"/>
            </w:pPr>
            <w:r w:rsidRPr="00B67E5A">
              <w:t>Accepted</w:t>
            </w:r>
          </w:p>
          <w:p w14:paraId="6A874B48" w14:textId="77777777" w:rsidR="009C1FD8" w:rsidRPr="00B67E5A" w:rsidRDefault="009C1FD8" w:rsidP="000D0C50">
            <w:pPr>
              <w:pStyle w:val="TableParagraph"/>
              <w:jc w:val="center"/>
            </w:pPr>
            <w:r>
              <w:t>(Transaction Paper)</w:t>
            </w:r>
          </w:p>
        </w:tc>
      </w:tr>
      <w:tr w:rsidR="009C1FD8" w:rsidRPr="00B67E5A" w14:paraId="4E3ACCBA" w14:textId="77777777" w:rsidTr="000A49CE">
        <w:trPr>
          <w:cantSplit/>
          <w:trHeight w:val="360"/>
        </w:trPr>
        <w:tc>
          <w:tcPr>
            <w:tcW w:w="773" w:type="pct"/>
            <w:shd w:val="clear" w:color="auto" w:fill="auto"/>
            <w:vAlign w:val="center"/>
          </w:tcPr>
          <w:p w14:paraId="71185C5B" w14:textId="77777777" w:rsidR="009C1FD8" w:rsidRPr="00B67E5A" w:rsidRDefault="009C1FD8" w:rsidP="00AE0192">
            <w:pPr>
              <w:pStyle w:val="TableParagraph"/>
            </w:pPr>
            <w:r w:rsidRPr="00B67E5A">
              <w:rPr>
                <w:color w:val="000000"/>
                <w:shd w:val="clear" w:color="auto" w:fill="FFFFFF"/>
              </w:rPr>
              <w:t>18PESGM0343</w:t>
            </w:r>
          </w:p>
        </w:tc>
        <w:tc>
          <w:tcPr>
            <w:tcW w:w="3264" w:type="pct"/>
            <w:shd w:val="clear" w:color="auto" w:fill="auto"/>
            <w:vAlign w:val="center"/>
          </w:tcPr>
          <w:p w14:paraId="4E9C110F" w14:textId="77777777" w:rsidR="009C1FD8" w:rsidRPr="00AE0192" w:rsidRDefault="009C1FD8" w:rsidP="00AE0192">
            <w:pPr>
              <w:pStyle w:val="TableParagraph"/>
            </w:pPr>
            <w:r w:rsidRPr="00AE0192">
              <w:t>A robust method to detect the contents of methanol in transformers oil</w:t>
            </w:r>
          </w:p>
        </w:tc>
        <w:tc>
          <w:tcPr>
            <w:tcW w:w="963" w:type="pct"/>
            <w:shd w:val="clear" w:color="auto" w:fill="auto"/>
            <w:vAlign w:val="center"/>
          </w:tcPr>
          <w:p w14:paraId="54474BFB" w14:textId="77777777" w:rsidR="009C1FD8" w:rsidRPr="00B67E5A" w:rsidRDefault="009C1FD8" w:rsidP="000D0C50">
            <w:pPr>
              <w:pStyle w:val="TableParagraph"/>
              <w:jc w:val="center"/>
            </w:pPr>
            <w:r w:rsidRPr="00B67E5A">
              <w:t>Withdrawn by Admin</w:t>
            </w:r>
          </w:p>
        </w:tc>
      </w:tr>
      <w:tr w:rsidR="009C1FD8" w:rsidRPr="00B67E5A" w14:paraId="499E3C67" w14:textId="77777777" w:rsidTr="000A49CE">
        <w:trPr>
          <w:cantSplit/>
          <w:trHeight w:val="360"/>
        </w:trPr>
        <w:tc>
          <w:tcPr>
            <w:tcW w:w="773" w:type="pct"/>
            <w:shd w:val="clear" w:color="auto" w:fill="auto"/>
            <w:vAlign w:val="center"/>
          </w:tcPr>
          <w:p w14:paraId="40CCCEAB" w14:textId="77777777" w:rsidR="009C1FD8" w:rsidRPr="00B67E5A" w:rsidRDefault="009C1FD8" w:rsidP="00AE0192">
            <w:pPr>
              <w:pStyle w:val="TableParagraph"/>
            </w:pPr>
            <w:r>
              <w:t>18PESGM0580</w:t>
            </w:r>
          </w:p>
        </w:tc>
        <w:tc>
          <w:tcPr>
            <w:tcW w:w="3264" w:type="pct"/>
            <w:shd w:val="clear" w:color="auto" w:fill="auto"/>
            <w:vAlign w:val="center"/>
          </w:tcPr>
          <w:p w14:paraId="0C213A76" w14:textId="77777777" w:rsidR="009C1FD8" w:rsidRPr="00AE0192" w:rsidRDefault="009C1FD8" w:rsidP="00AE0192">
            <w:pPr>
              <w:pStyle w:val="TableParagraph"/>
            </w:pPr>
            <w:r w:rsidRPr="00AE0192">
              <w:t>A more accurate numerical method to calculate pressure rise due to internal electrical faults in oil-filled power transformer tanks</w:t>
            </w:r>
          </w:p>
        </w:tc>
        <w:tc>
          <w:tcPr>
            <w:tcW w:w="963" w:type="pct"/>
            <w:shd w:val="clear" w:color="auto" w:fill="auto"/>
            <w:vAlign w:val="center"/>
          </w:tcPr>
          <w:p w14:paraId="71CC6727" w14:textId="77777777" w:rsidR="009C1FD8" w:rsidRPr="00B67E5A" w:rsidRDefault="009C1FD8" w:rsidP="000D0C50">
            <w:pPr>
              <w:pStyle w:val="TableParagraph"/>
              <w:jc w:val="center"/>
            </w:pPr>
            <w:r w:rsidRPr="00B67E5A">
              <w:t>Accepted</w:t>
            </w:r>
          </w:p>
        </w:tc>
      </w:tr>
      <w:tr w:rsidR="009C1FD8" w:rsidRPr="00B67E5A" w14:paraId="092EEB59" w14:textId="77777777" w:rsidTr="000A49CE">
        <w:trPr>
          <w:cantSplit/>
          <w:trHeight w:val="360"/>
        </w:trPr>
        <w:tc>
          <w:tcPr>
            <w:tcW w:w="773" w:type="pct"/>
            <w:shd w:val="clear" w:color="auto" w:fill="auto"/>
            <w:vAlign w:val="center"/>
          </w:tcPr>
          <w:p w14:paraId="5680115C" w14:textId="77777777" w:rsidR="009C1FD8" w:rsidRPr="00B67E5A" w:rsidRDefault="009C1FD8" w:rsidP="00AE0192">
            <w:pPr>
              <w:pStyle w:val="TableParagraph"/>
            </w:pPr>
            <w:r w:rsidRPr="00B67E5A">
              <w:rPr>
                <w:color w:val="000000"/>
                <w:shd w:val="clear" w:color="auto" w:fill="FFFFFF"/>
              </w:rPr>
              <w:t>18PESGM0778</w:t>
            </w:r>
          </w:p>
        </w:tc>
        <w:tc>
          <w:tcPr>
            <w:tcW w:w="3264" w:type="pct"/>
            <w:shd w:val="clear" w:color="auto" w:fill="auto"/>
            <w:vAlign w:val="center"/>
          </w:tcPr>
          <w:p w14:paraId="0A26DD61" w14:textId="77777777" w:rsidR="009C1FD8" w:rsidRPr="00B67E5A" w:rsidRDefault="009C1FD8" w:rsidP="00AE0192">
            <w:pPr>
              <w:pStyle w:val="TableParagraph"/>
            </w:pPr>
            <w:r w:rsidRPr="00B67E5A">
              <w:t>Impact of Nanosecond Pulse Parameters on Online Impulse Frequency Response Signature of a Power Transformer</w:t>
            </w:r>
          </w:p>
        </w:tc>
        <w:tc>
          <w:tcPr>
            <w:tcW w:w="963" w:type="pct"/>
            <w:shd w:val="clear" w:color="auto" w:fill="auto"/>
            <w:vAlign w:val="center"/>
          </w:tcPr>
          <w:p w14:paraId="10077562" w14:textId="77777777" w:rsidR="009C1FD8" w:rsidRPr="00B67E5A" w:rsidRDefault="009C1FD8" w:rsidP="000D0C50">
            <w:pPr>
              <w:pStyle w:val="TableParagraph"/>
              <w:jc w:val="center"/>
            </w:pPr>
            <w:r w:rsidRPr="00B67E5A">
              <w:t>Rejected</w:t>
            </w:r>
          </w:p>
        </w:tc>
      </w:tr>
      <w:tr w:rsidR="009C1FD8" w:rsidRPr="00B67E5A" w14:paraId="6CD229D1" w14:textId="77777777" w:rsidTr="000A49CE">
        <w:trPr>
          <w:cantSplit/>
          <w:trHeight w:val="360"/>
        </w:trPr>
        <w:tc>
          <w:tcPr>
            <w:tcW w:w="773" w:type="pct"/>
            <w:shd w:val="clear" w:color="auto" w:fill="auto"/>
            <w:vAlign w:val="center"/>
          </w:tcPr>
          <w:p w14:paraId="68077864" w14:textId="77777777" w:rsidR="009C1FD8" w:rsidRPr="00B67E5A" w:rsidRDefault="009C1FD8" w:rsidP="00AE0192">
            <w:pPr>
              <w:pStyle w:val="TableParagraph"/>
            </w:pPr>
            <w:r>
              <w:t>18PESGM0814</w:t>
            </w:r>
          </w:p>
        </w:tc>
        <w:tc>
          <w:tcPr>
            <w:tcW w:w="3264" w:type="pct"/>
            <w:shd w:val="clear" w:color="auto" w:fill="auto"/>
            <w:vAlign w:val="center"/>
          </w:tcPr>
          <w:p w14:paraId="01A283FA" w14:textId="77777777" w:rsidR="009C1FD8" w:rsidRPr="00B67E5A" w:rsidRDefault="009C1FD8" w:rsidP="00AE0192">
            <w:pPr>
              <w:pStyle w:val="TableParagraph"/>
            </w:pPr>
            <w:r w:rsidRPr="00B67E5A">
              <w:t>Study on the Consumption Law of Metal Passivator Irgamet 39 in Transformer Oil</w:t>
            </w:r>
          </w:p>
        </w:tc>
        <w:tc>
          <w:tcPr>
            <w:tcW w:w="963" w:type="pct"/>
            <w:shd w:val="clear" w:color="auto" w:fill="auto"/>
            <w:vAlign w:val="center"/>
          </w:tcPr>
          <w:p w14:paraId="52ADB3A9" w14:textId="77777777" w:rsidR="009C1FD8" w:rsidRPr="00B67E5A" w:rsidRDefault="009C1FD8" w:rsidP="000D0C50">
            <w:pPr>
              <w:pStyle w:val="TableParagraph"/>
              <w:jc w:val="center"/>
            </w:pPr>
            <w:r w:rsidRPr="00B67E5A">
              <w:t>Withdrawn by Admin</w:t>
            </w:r>
          </w:p>
        </w:tc>
      </w:tr>
      <w:tr w:rsidR="009C1FD8" w:rsidRPr="00B67E5A" w14:paraId="2FBC166B" w14:textId="77777777" w:rsidTr="000A49CE">
        <w:trPr>
          <w:cantSplit/>
          <w:trHeight w:val="360"/>
        </w:trPr>
        <w:tc>
          <w:tcPr>
            <w:tcW w:w="773" w:type="pct"/>
            <w:shd w:val="clear" w:color="auto" w:fill="auto"/>
            <w:vAlign w:val="center"/>
          </w:tcPr>
          <w:p w14:paraId="559B30E8" w14:textId="77777777" w:rsidR="009C1FD8" w:rsidRPr="00B67E5A" w:rsidRDefault="009C1FD8" w:rsidP="00AE0192">
            <w:pPr>
              <w:pStyle w:val="TableParagraph"/>
            </w:pPr>
            <w:r w:rsidRPr="00B67E5A">
              <w:rPr>
                <w:color w:val="000000"/>
                <w:shd w:val="clear" w:color="auto" w:fill="FFFFFF"/>
              </w:rPr>
              <w:t>18PESGM0820</w:t>
            </w:r>
          </w:p>
        </w:tc>
        <w:tc>
          <w:tcPr>
            <w:tcW w:w="3264" w:type="pct"/>
            <w:shd w:val="clear" w:color="auto" w:fill="auto"/>
            <w:vAlign w:val="center"/>
          </w:tcPr>
          <w:p w14:paraId="3DB02965" w14:textId="77777777" w:rsidR="009C1FD8" w:rsidRPr="00AE0192" w:rsidRDefault="009C1FD8" w:rsidP="00AE0192">
            <w:pPr>
              <w:pStyle w:val="TableParagraph"/>
            </w:pPr>
            <w:r w:rsidRPr="00AE0192">
              <w:t>Study of Influence on Metal Passivator Effectiveness</w:t>
            </w:r>
          </w:p>
        </w:tc>
        <w:tc>
          <w:tcPr>
            <w:tcW w:w="963" w:type="pct"/>
            <w:shd w:val="clear" w:color="auto" w:fill="auto"/>
            <w:vAlign w:val="center"/>
          </w:tcPr>
          <w:p w14:paraId="2A30DDDC" w14:textId="77777777" w:rsidR="009C1FD8" w:rsidRPr="00B67E5A" w:rsidRDefault="009C1FD8" w:rsidP="000D0C50">
            <w:pPr>
              <w:pStyle w:val="TableParagraph"/>
              <w:jc w:val="center"/>
            </w:pPr>
            <w:r w:rsidRPr="00B67E5A">
              <w:t>Rejected</w:t>
            </w:r>
          </w:p>
        </w:tc>
      </w:tr>
      <w:tr w:rsidR="009C1FD8" w:rsidRPr="00B67E5A" w14:paraId="4919D1A5" w14:textId="77777777" w:rsidTr="000A49CE">
        <w:trPr>
          <w:cantSplit/>
          <w:trHeight w:val="360"/>
        </w:trPr>
        <w:tc>
          <w:tcPr>
            <w:tcW w:w="773" w:type="pct"/>
            <w:shd w:val="clear" w:color="auto" w:fill="auto"/>
            <w:vAlign w:val="center"/>
          </w:tcPr>
          <w:p w14:paraId="5DB4C403" w14:textId="77777777" w:rsidR="009C1FD8" w:rsidRPr="00B67E5A" w:rsidRDefault="009C1FD8" w:rsidP="00AE0192">
            <w:pPr>
              <w:pStyle w:val="TableParagraph"/>
              <w:rPr>
                <w:color w:val="000000"/>
              </w:rPr>
            </w:pPr>
            <w:r w:rsidRPr="00B67E5A">
              <w:rPr>
                <w:color w:val="000000"/>
              </w:rPr>
              <w:t>18PESGM0854</w:t>
            </w:r>
          </w:p>
        </w:tc>
        <w:tc>
          <w:tcPr>
            <w:tcW w:w="3264" w:type="pct"/>
            <w:shd w:val="clear" w:color="auto" w:fill="auto"/>
            <w:vAlign w:val="center"/>
          </w:tcPr>
          <w:p w14:paraId="7AD08951" w14:textId="77777777" w:rsidR="009C1FD8" w:rsidRPr="00AE0192" w:rsidRDefault="009C1FD8" w:rsidP="00AE0192">
            <w:pPr>
              <w:pStyle w:val="TableParagraph"/>
            </w:pPr>
            <w:r w:rsidRPr="00AE0192">
              <w:t>Performance Evaluation of Thermally Stressed Alternative Solid Dielectrics for Power Transformers Using Raman Spectroscopy</w:t>
            </w:r>
          </w:p>
        </w:tc>
        <w:tc>
          <w:tcPr>
            <w:tcW w:w="963" w:type="pct"/>
            <w:shd w:val="clear" w:color="auto" w:fill="auto"/>
            <w:vAlign w:val="center"/>
          </w:tcPr>
          <w:p w14:paraId="2D30EDA6" w14:textId="77777777" w:rsidR="009C1FD8" w:rsidRPr="00B67E5A" w:rsidRDefault="009C1FD8" w:rsidP="000D0C50">
            <w:pPr>
              <w:pStyle w:val="TableParagraph"/>
              <w:jc w:val="center"/>
            </w:pPr>
            <w:r w:rsidRPr="00B67E5A">
              <w:t>Withdrawn by Author</w:t>
            </w:r>
          </w:p>
        </w:tc>
      </w:tr>
      <w:tr w:rsidR="009C1FD8" w:rsidRPr="00B67E5A" w14:paraId="1CEF9F79" w14:textId="77777777" w:rsidTr="000A49CE">
        <w:trPr>
          <w:cantSplit/>
          <w:trHeight w:val="360"/>
        </w:trPr>
        <w:tc>
          <w:tcPr>
            <w:tcW w:w="773" w:type="pct"/>
            <w:shd w:val="clear" w:color="auto" w:fill="auto"/>
            <w:vAlign w:val="center"/>
          </w:tcPr>
          <w:p w14:paraId="7E8C86B2" w14:textId="77777777" w:rsidR="009C1FD8" w:rsidRPr="00B67E5A" w:rsidRDefault="009C1FD8" w:rsidP="00AE0192">
            <w:pPr>
              <w:pStyle w:val="TableParagraph"/>
              <w:rPr>
                <w:color w:val="000000"/>
              </w:rPr>
            </w:pPr>
            <w:r w:rsidRPr="00B67E5A">
              <w:rPr>
                <w:color w:val="000000"/>
              </w:rPr>
              <w:t>18PESGM0855</w:t>
            </w:r>
          </w:p>
        </w:tc>
        <w:tc>
          <w:tcPr>
            <w:tcW w:w="3264" w:type="pct"/>
            <w:shd w:val="clear" w:color="auto" w:fill="auto"/>
            <w:vAlign w:val="center"/>
          </w:tcPr>
          <w:p w14:paraId="7018601C" w14:textId="77777777" w:rsidR="009C1FD8" w:rsidRPr="00AE0192" w:rsidRDefault="009C1FD8" w:rsidP="00AE0192">
            <w:pPr>
              <w:pStyle w:val="TableParagraph"/>
            </w:pPr>
            <w:r w:rsidRPr="00AE0192">
              <w:t>Study on the Consumption Law of Metal Passivator Irgamet 39 in Transformer Oil</w:t>
            </w:r>
          </w:p>
        </w:tc>
        <w:tc>
          <w:tcPr>
            <w:tcW w:w="963" w:type="pct"/>
            <w:shd w:val="clear" w:color="auto" w:fill="auto"/>
            <w:vAlign w:val="center"/>
          </w:tcPr>
          <w:p w14:paraId="722BFF57" w14:textId="77777777" w:rsidR="009C1FD8" w:rsidRPr="00B67E5A" w:rsidRDefault="009C1FD8" w:rsidP="000D0C50">
            <w:pPr>
              <w:pStyle w:val="TableParagraph"/>
              <w:jc w:val="center"/>
            </w:pPr>
            <w:r w:rsidRPr="00B67E5A">
              <w:t>Accepted</w:t>
            </w:r>
          </w:p>
        </w:tc>
      </w:tr>
      <w:tr w:rsidR="009C1FD8" w:rsidRPr="00B67E5A" w14:paraId="7F5E3D36" w14:textId="77777777" w:rsidTr="000A49CE">
        <w:trPr>
          <w:cantSplit/>
          <w:trHeight w:val="360"/>
        </w:trPr>
        <w:tc>
          <w:tcPr>
            <w:tcW w:w="773" w:type="pct"/>
            <w:shd w:val="clear" w:color="auto" w:fill="auto"/>
            <w:vAlign w:val="center"/>
          </w:tcPr>
          <w:p w14:paraId="2FC5A9F8" w14:textId="77777777" w:rsidR="009C1FD8" w:rsidRPr="00B67E5A" w:rsidRDefault="009C1FD8" w:rsidP="00AE0192">
            <w:pPr>
              <w:pStyle w:val="TableParagraph"/>
            </w:pPr>
            <w:r>
              <w:t>18PESGM0924</w:t>
            </w:r>
          </w:p>
        </w:tc>
        <w:tc>
          <w:tcPr>
            <w:tcW w:w="3264" w:type="pct"/>
            <w:shd w:val="clear" w:color="auto" w:fill="auto"/>
            <w:vAlign w:val="center"/>
          </w:tcPr>
          <w:p w14:paraId="4D164DBC" w14:textId="77777777" w:rsidR="009C1FD8" w:rsidRPr="00AE0192" w:rsidRDefault="009C1FD8" w:rsidP="00AE0192">
            <w:pPr>
              <w:pStyle w:val="TableParagraph"/>
            </w:pPr>
            <w:r w:rsidRPr="00AE0192">
              <w:t>Effectiveness of Using Simplified Methods to Estimate Transformer Loss of Life</w:t>
            </w:r>
          </w:p>
        </w:tc>
        <w:tc>
          <w:tcPr>
            <w:tcW w:w="963" w:type="pct"/>
            <w:shd w:val="clear" w:color="auto" w:fill="auto"/>
            <w:vAlign w:val="center"/>
          </w:tcPr>
          <w:p w14:paraId="6BB0F970" w14:textId="77777777" w:rsidR="009C1FD8" w:rsidRPr="00B67E5A" w:rsidRDefault="009C1FD8" w:rsidP="000D0C50">
            <w:pPr>
              <w:pStyle w:val="TableParagraph"/>
              <w:jc w:val="center"/>
            </w:pPr>
            <w:r w:rsidRPr="00B67E5A">
              <w:t>Accepted</w:t>
            </w:r>
          </w:p>
        </w:tc>
      </w:tr>
      <w:tr w:rsidR="009C1FD8" w:rsidRPr="00B67E5A" w14:paraId="4EE309D0" w14:textId="77777777" w:rsidTr="000A49CE">
        <w:trPr>
          <w:cantSplit/>
          <w:trHeight w:val="360"/>
        </w:trPr>
        <w:tc>
          <w:tcPr>
            <w:tcW w:w="773" w:type="pct"/>
            <w:shd w:val="clear" w:color="auto" w:fill="auto"/>
            <w:vAlign w:val="center"/>
          </w:tcPr>
          <w:p w14:paraId="5D5F46D0" w14:textId="77777777" w:rsidR="009C1FD8" w:rsidRPr="00B67E5A" w:rsidRDefault="009C1FD8" w:rsidP="00AE0192">
            <w:pPr>
              <w:pStyle w:val="TableParagraph"/>
              <w:rPr>
                <w:color w:val="000000"/>
              </w:rPr>
            </w:pPr>
            <w:r w:rsidRPr="00B67E5A">
              <w:rPr>
                <w:color w:val="000000"/>
              </w:rPr>
              <w:t>18PESGM0985</w:t>
            </w:r>
          </w:p>
        </w:tc>
        <w:tc>
          <w:tcPr>
            <w:tcW w:w="3264" w:type="pct"/>
            <w:shd w:val="clear" w:color="auto" w:fill="auto"/>
            <w:vAlign w:val="center"/>
          </w:tcPr>
          <w:p w14:paraId="2B2C7FB1" w14:textId="77777777" w:rsidR="009C1FD8" w:rsidRPr="00AE0192" w:rsidRDefault="009C1FD8" w:rsidP="00AE0192">
            <w:pPr>
              <w:pStyle w:val="TableParagraph"/>
            </w:pPr>
            <w:r w:rsidRPr="00AE0192">
              <w:t>Influence of RC snubbers on the Steepness of Switching Transients caused by Vacuum Circuit Breakers</w:t>
            </w:r>
          </w:p>
        </w:tc>
        <w:tc>
          <w:tcPr>
            <w:tcW w:w="963" w:type="pct"/>
            <w:shd w:val="clear" w:color="auto" w:fill="auto"/>
            <w:vAlign w:val="center"/>
          </w:tcPr>
          <w:p w14:paraId="652B72E1" w14:textId="77777777" w:rsidR="009C1FD8" w:rsidRPr="00B67E5A" w:rsidRDefault="009C1FD8" w:rsidP="000D0C50">
            <w:pPr>
              <w:pStyle w:val="TableParagraph"/>
              <w:jc w:val="center"/>
            </w:pPr>
            <w:r w:rsidRPr="00B67E5A">
              <w:t>Accepted</w:t>
            </w:r>
          </w:p>
        </w:tc>
      </w:tr>
      <w:tr w:rsidR="009C1FD8" w:rsidRPr="00B67E5A" w14:paraId="62BEF681" w14:textId="77777777" w:rsidTr="000A49CE">
        <w:trPr>
          <w:cantSplit/>
          <w:trHeight w:val="360"/>
        </w:trPr>
        <w:tc>
          <w:tcPr>
            <w:tcW w:w="773" w:type="pct"/>
            <w:shd w:val="clear" w:color="auto" w:fill="auto"/>
            <w:vAlign w:val="center"/>
          </w:tcPr>
          <w:p w14:paraId="76FC55DD" w14:textId="77777777" w:rsidR="009C1FD8" w:rsidRPr="00B67E5A" w:rsidRDefault="009C1FD8" w:rsidP="00AE0192">
            <w:pPr>
              <w:pStyle w:val="TableParagraph"/>
              <w:rPr>
                <w:color w:val="000000"/>
              </w:rPr>
            </w:pPr>
            <w:r w:rsidRPr="00B67E5A">
              <w:rPr>
                <w:color w:val="000000"/>
              </w:rPr>
              <w:t>18PESGM1173</w:t>
            </w:r>
          </w:p>
        </w:tc>
        <w:tc>
          <w:tcPr>
            <w:tcW w:w="3264" w:type="pct"/>
            <w:shd w:val="clear" w:color="auto" w:fill="auto"/>
            <w:vAlign w:val="center"/>
          </w:tcPr>
          <w:p w14:paraId="4976EF4D" w14:textId="77777777" w:rsidR="009C1FD8" w:rsidRPr="00AE0192" w:rsidRDefault="009C1FD8" w:rsidP="00AE0192">
            <w:pPr>
              <w:pStyle w:val="TableParagraph"/>
            </w:pPr>
            <w:r w:rsidRPr="00AE0192">
              <w:t>Analysis of Vibration Signal for Power Transformer's On-Load Tap Changer (OLTC) Condition Monitoring</w:t>
            </w:r>
          </w:p>
        </w:tc>
        <w:tc>
          <w:tcPr>
            <w:tcW w:w="963" w:type="pct"/>
            <w:shd w:val="clear" w:color="auto" w:fill="auto"/>
            <w:vAlign w:val="center"/>
          </w:tcPr>
          <w:p w14:paraId="72C74C17" w14:textId="77777777" w:rsidR="009C1FD8" w:rsidRPr="00B67E5A" w:rsidRDefault="009C1FD8" w:rsidP="000D0C50">
            <w:pPr>
              <w:pStyle w:val="TableParagraph"/>
              <w:jc w:val="center"/>
            </w:pPr>
            <w:r w:rsidRPr="00B67E5A">
              <w:t>Accepted</w:t>
            </w:r>
          </w:p>
        </w:tc>
      </w:tr>
      <w:tr w:rsidR="009C1FD8" w:rsidRPr="00B67E5A" w14:paraId="55754D67" w14:textId="77777777" w:rsidTr="000A49CE">
        <w:trPr>
          <w:cantSplit/>
          <w:trHeight w:val="360"/>
        </w:trPr>
        <w:tc>
          <w:tcPr>
            <w:tcW w:w="773" w:type="pct"/>
            <w:shd w:val="clear" w:color="auto" w:fill="auto"/>
            <w:vAlign w:val="center"/>
          </w:tcPr>
          <w:p w14:paraId="53039F49" w14:textId="77777777" w:rsidR="009C1FD8" w:rsidRPr="00B67E5A" w:rsidRDefault="009C1FD8" w:rsidP="00AE0192">
            <w:pPr>
              <w:pStyle w:val="TableParagraph"/>
            </w:pPr>
            <w:r w:rsidRPr="00B67E5A">
              <w:rPr>
                <w:color w:val="000000"/>
                <w:shd w:val="clear" w:color="auto" w:fill="FFFFFF"/>
              </w:rPr>
              <w:t>18PESGM1233</w:t>
            </w:r>
          </w:p>
        </w:tc>
        <w:tc>
          <w:tcPr>
            <w:tcW w:w="3264" w:type="pct"/>
            <w:shd w:val="clear" w:color="auto" w:fill="auto"/>
            <w:vAlign w:val="center"/>
          </w:tcPr>
          <w:p w14:paraId="4D0286FD" w14:textId="77777777" w:rsidR="009C1FD8" w:rsidRPr="00AE0192" w:rsidRDefault="009C1FD8" w:rsidP="00AE0192">
            <w:pPr>
              <w:pStyle w:val="TableParagraph"/>
            </w:pPr>
            <w:r w:rsidRPr="00AE0192">
              <w:t>Cascaded LC-AC transformer unidirectional DC/DC converter with high stepping ratio</w:t>
            </w:r>
          </w:p>
        </w:tc>
        <w:tc>
          <w:tcPr>
            <w:tcW w:w="963" w:type="pct"/>
            <w:shd w:val="clear" w:color="auto" w:fill="auto"/>
            <w:vAlign w:val="center"/>
          </w:tcPr>
          <w:p w14:paraId="75017F15" w14:textId="77777777" w:rsidR="009C1FD8" w:rsidRPr="00B67E5A" w:rsidRDefault="009C1FD8" w:rsidP="000D0C50">
            <w:pPr>
              <w:pStyle w:val="TableParagraph"/>
              <w:jc w:val="center"/>
            </w:pPr>
            <w:r w:rsidRPr="00B67E5A">
              <w:t>Accepted</w:t>
            </w:r>
          </w:p>
        </w:tc>
      </w:tr>
      <w:tr w:rsidR="009C1FD8" w:rsidRPr="00B67E5A" w14:paraId="26D5C91A" w14:textId="77777777" w:rsidTr="000A49CE">
        <w:trPr>
          <w:cantSplit/>
          <w:trHeight w:val="360"/>
        </w:trPr>
        <w:tc>
          <w:tcPr>
            <w:tcW w:w="773" w:type="pct"/>
            <w:shd w:val="clear" w:color="auto" w:fill="auto"/>
            <w:vAlign w:val="center"/>
          </w:tcPr>
          <w:p w14:paraId="10273D2A" w14:textId="77777777" w:rsidR="009C1FD8" w:rsidRPr="00CD4F74" w:rsidRDefault="009C1FD8" w:rsidP="00AE0192">
            <w:pPr>
              <w:pStyle w:val="TableParagraph"/>
              <w:rPr>
                <w:color w:val="000000"/>
              </w:rPr>
            </w:pPr>
            <w:r w:rsidRPr="00B67E5A">
              <w:rPr>
                <w:color w:val="000000"/>
              </w:rPr>
              <w:t>18PESGM1289</w:t>
            </w:r>
          </w:p>
        </w:tc>
        <w:tc>
          <w:tcPr>
            <w:tcW w:w="3264" w:type="pct"/>
            <w:shd w:val="clear" w:color="auto" w:fill="auto"/>
            <w:vAlign w:val="center"/>
          </w:tcPr>
          <w:p w14:paraId="4C623871" w14:textId="77777777" w:rsidR="009C1FD8" w:rsidRPr="00AE0192" w:rsidRDefault="009C1FD8" w:rsidP="00AE0192">
            <w:pPr>
              <w:pStyle w:val="TableParagraph"/>
            </w:pPr>
            <w:r w:rsidRPr="00AE0192">
              <w:t>Performance Evaluation of Thermally Stressed Solid Dielectrics for Transformers</w:t>
            </w:r>
          </w:p>
        </w:tc>
        <w:tc>
          <w:tcPr>
            <w:tcW w:w="963" w:type="pct"/>
            <w:shd w:val="clear" w:color="auto" w:fill="auto"/>
            <w:vAlign w:val="center"/>
          </w:tcPr>
          <w:p w14:paraId="6F1C2C20" w14:textId="77777777" w:rsidR="009C1FD8" w:rsidRPr="00B67E5A" w:rsidRDefault="009C1FD8" w:rsidP="000D0C50">
            <w:pPr>
              <w:pStyle w:val="TableParagraph"/>
              <w:jc w:val="center"/>
            </w:pPr>
            <w:r w:rsidRPr="00B67E5A">
              <w:t>Rejected</w:t>
            </w:r>
          </w:p>
        </w:tc>
      </w:tr>
      <w:tr w:rsidR="009C1FD8" w:rsidRPr="00B67E5A" w14:paraId="0D76CBCB" w14:textId="77777777" w:rsidTr="000A49CE">
        <w:trPr>
          <w:cantSplit/>
          <w:trHeight w:val="360"/>
        </w:trPr>
        <w:tc>
          <w:tcPr>
            <w:tcW w:w="773" w:type="pct"/>
            <w:shd w:val="clear" w:color="auto" w:fill="auto"/>
            <w:vAlign w:val="center"/>
          </w:tcPr>
          <w:p w14:paraId="7290BF7C" w14:textId="77777777" w:rsidR="009C1FD8" w:rsidRPr="00CD4F74" w:rsidRDefault="009C1FD8" w:rsidP="00AE0192">
            <w:pPr>
              <w:pStyle w:val="TableParagraph"/>
              <w:rPr>
                <w:color w:val="000000"/>
              </w:rPr>
            </w:pPr>
            <w:r w:rsidRPr="00B67E5A">
              <w:rPr>
                <w:color w:val="000000"/>
              </w:rPr>
              <w:t>18PESGM1299</w:t>
            </w:r>
          </w:p>
        </w:tc>
        <w:tc>
          <w:tcPr>
            <w:tcW w:w="3264" w:type="pct"/>
            <w:shd w:val="clear" w:color="auto" w:fill="auto"/>
            <w:vAlign w:val="center"/>
          </w:tcPr>
          <w:p w14:paraId="360EFE78" w14:textId="77777777" w:rsidR="009C1FD8" w:rsidRPr="00AE0192" w:rsidRDefault="009C1FD8" w:rsidP="00AE0192">
            <w:pPr>
              <w:pStyle w:val="TableParagraph"/>
            </w:pPr>
            <w:r w:rsidRPr="00AE0192">
              <w:t>Analyzing Differences in Useful Life of Power Transformers across Utilities for Better Strategic Spares Management</w:t>
            </w:r>
          </w:p>
        </w:tc>
        <w:tc>
          <w:tcPr>
            <w:tcW w:w="963" w:type="pct"/>
            <w:shd w:val="clear" w:color="auto" w:fill="auto"/>
            <w:vAlign w:val="center"/>
          </w:tcPr>
          <w:p w14:paraId="78451656" w14:textId="77777777" w:rsidR="009C1FD8" w:rsidRPr="00B67E5A" w:rsidRDefault="009C1FD8" w:rsidP="000D0C50">
            <w:pPr>
              <w:pStyle w:val="TableParagraph"/>
              <w:jc w:val="center"/>
            </w:pPr>
            <w:r w:rsidRPr="00B67E5A">
              <w:t>Accepted</w:t>
            </w:r>
          </w:p>
        </w:tc>
      </w:tr>
      <w:tr w:rsidR="009C1FD8" w:rsidRPr="00B67E5A" w14:paraId="155CB989" w14:textId="77777777" w:rsidTr="000A49CE">
        <w:trPr>
          <w:cantSplit/>
          <w:trHeight w:val="360"/>
        </w:trPr>
        <w:tc>
          <w:tcPr>
            <w:tcW w:w="773" w:type="pct"/>
            <w:shd w:val="clear" w:color="auto" w:fill="auto"/>
            <w:vAlign w:val="center"/>
          </w:tcPr>
          <w:p w14:paraId="2174E99D" w14:textId="77777777" w:rsidR="009C1FD8" w:rsidRPr="00CD4F74" w:rsidRDefault="009C1FD8" w:rsidP="00AE0192">
            <w:pPr>
              <w:pStyle w:val="TableParagraph"/>
              <w:rPr>
                <w:color w:val="000000"/>
              </w:rPr>
            </w:pPr>
            <w:r w:rsidRPr="00B67E5A">
              <w:rPr>
                <w:color w:val="000000"/>
              </w:rPr>
              <w:t>18PESGM1516</w:t>
            </w:r>
          </w:p>
        </w:tc>
        <w:tc>
          <w:tcPr>
            <w:tcW w:w="3264" w:type="pct"/>
            <w:shd w:val="clear" w:color="auto" w:fill="auto"/>
            <w:vAlign w:val="center"/>
          </w:tcPr>
          <w:p w14:paraId="1D32EEB9" w14:textId="77777777" w:rsidR="009C1FD8" w:rsidRPr="00AE0192" w:rsidRDefault="009C1FD8" w:rsidP="00AE0192">
            <w:pPr>
              <w:pStyle w:val="TableParagraph"/>
            </w:pPr>
            <w:r w:rsidRPr="00AE0192">
              <w:t>Accurate Estimating Algorithm of Transfer Function for Transformer FRA Diagnosis</w:t>
            </w:r>
          </w:p>
        </w:tc>
        <w:tc>
          <w:tcPr>
            <w:tcW w:w="963" w:type="pct"/>
            <w:shd w:val="clear" w:color="auto" w:fill="auto"/>
            <w:vAlign w:val="center"/>
          </w:tcPr>
          <w:p w14:paraId="45FCFC02" w14:textId="77777777" w:rsidR="009C1FD8" w:rsidRPr="00B67E5A" w:rsidRDefault="009C1FD8" w:rsidP="000D0C50">
            <w:pPr>
              <w:pStyle w:val="TableParagraph"/>
              <w:jc w:val="center"/>
            </w:pPr>
            <w:r w:rsidRPr="00B67E5A">
              <w:t>Accepted</w:t>
            </w:r>
          </w:p>
        </w:tc>
      </w:tr>
      <w:tr w:rsidR="009C1FD8" w:rsidRPr="00B67E5A" w14:paraId="77E8AB64" w14:textId="77777777" w:rsidTr="000A49CE">
        <w:trPr>
          <w:cantSplit/>
          <w:trHeight w:val="360"/>
        </w:trPr>
        <w:tc>
          <w:tcPr>
            <w:tcW w:w="773" w:type="pct"/>
            <w:shd w:val="clear" w:color="auto" w:fill="auto"/>
            <w:vAlign w:val="center"/>
          </w:tcPr>
          <w:p w14:paraId="21468A53" w14:textId="77777777" w:rsidR="009C1FD8" w:rsidRPr="00CD4F74" w:rsidRDefault="009C1FD8" w:rsidP="00AE0192">
            <w:pPr>
              <w:pStyle w:val="TableParagraph"/>
              <w:rPr>
                <w:color w:val="000000"/>
              </w:rPr>
            </w:pPr>
            <w:r w:rsidRPr="00B67E5A">
              <w:rPr>
                <w:color w:val="000000"/>
              </w:rPr>
              <w:t>18PESGM2002</w:t>
            </w:r>
          </w:p>
        </w:tc>
        <w:tc>
          <w:tcPr>
            <w:tcW w:w="3264" w:type="pct"/>
            <w:shd w:val="clear" w:color="auto" w:fill="auto"/>
            <w:vAlign w:val="center"/>
          </w:tcPr>
          <w:p w14:paraId="2A35458E" w14:textId="77777777" w:rsidR="009C1FD8" w:rsidRPr="00AE0192" w:rsidRDefault="009C1FD8" w:rsidP="00AE0192">
            <w:pPr>
              <w:pStyle w:val="TableParagraph"/>
            </w:pPr>
            <w:r w:rsidRPr="00AE0192">
              <w:t>Vibration Monitoring of On-load Tap-changer by Resonance-based Sparse Signal Decomposition</w:t>
            </w:r>
          </w:p>
        </w:tc>
        <w:tc>
          <w:tcPr>
            <w:tcW w:w="963" w:type="pct"/>
            <w:shd w:val="clear" w:color="auto" w:fill="auto"/>
            <w:vAlign w:val="center"/>
          </w:tcPr>
          <w:p w14:paraId="58BA234A" w14:textId="77777777" w:rsidR="009C1FD8" w:rsidRPr="00B67E5A" w:rsidRDefault="009C1FD8" w:rsidP="000D0C50">
            <w:pPr>
              <w:pStyle w:val="TableParagraph"/>
              <w:jc w:val="center"/>
            </w:pPr>
            <w:r w:rsidRPr="00B67E5A">
              <w:t>Accepted</w:t>
            </w:r>
          </w:p>
        </w:tc>
      </w:tr>
    </w:tbl>
    <w:p w14:paraId="4E35CFDC" w14:textId="77777777" w:rsidR="00D2482E" w:rsidRPr="00CD0C9D" w:rsidRDefault="00D2482E" w:rsidP="00B5257C">
      <w:pPr>
        <w:pStyle w:val="Heading2"/>
      </w:pPr>
      <w:r w:rsidRPr="00CD0C9D">
        <w:t xml:space="preserve">IEEE Transactions on Power Delivery </w:t>
      </w:r>
      <w:r w:rsidR="00E94592" w:rsidRPr="00CD0C9D">
        <w:t>to</w:t>
      </w:r>
      <w:r w:rsidR="00CD0C9D" w:rsidRPr="00CD0C9D">
        <w:t xml:space="preserve"> Date in 2017</w:t>
      </w:r>
    </w:p>
    <w:p w14:paraId="01741ACB" w14:textId="6068AADD" w:rsidR="00175065" w:rsidRPr="00610999" w:rsidRDefault="00E6050D" w:rsidP="00E6050D">
      <w:r>
        <w:t>No report on Transactions was submitted from IEEE as of March 2</w:t>
      </w:r>
      <w:r w:rsidR="003A7C88">
        <w:t>4</w:t>
      </w:r>
      <w:r>
        <w:t>, 2018.</w:t>
      </w:r>
    </w:p>
    <w:p w14:paraId="5B86D27C" w14:textId="77777777" w:rsidR="0083453F" w:rsidRPr="004C6C0F" w:rsidRDefault="0083453F" w:rsidP="00670D59">
      <w:r w:rsidRPr="004C6C0F">
        <w:t>Respectfully,</w:t>
      </w:r>
    </w:p>
    <w:p w14:paraId="5E45C998" w14:textId="77777777" w:rsidR="00670D59" w:rsidRDefault="00670D59" w:rsidP="00670D59">
      <w:pPr>
        <w:rPr>
          <w:noProof/>
        </w:rPr>
      </w:pPr>
      <w:r>
        <w:rPr>
          <w:noProof/>
        </w:rPr>
        <w:t>Bruce Forsyth</w:t>
      </w:r>
    </w:p>
    <w:p w14:paraId="3653B14C" w14:textId="77777777" w:rsidR="0083453F" w:rsidRDefault="0083453F" w:rsidP="00670D59">
      <w:pPr>
        <w:spacing w:before="0"/>
      </w:pPr>
      <w:r w:rsidRPr="004C6C0F">
        <w:t>Vice Chair</w:t>
      </w:r>
    </w:p>
    <w:p w14:paraId="43C58BB9" w14:textId="59026F87" w:rsidR="004C6C0F" w:rsidRPr="004C6C0F" w:rsidRDefault="00670D59" w:rsidP="00670D59">
      <w:pPr>
        <w:spacing w:before="0"/>
      </w:pPr>
      <w:r>
        <w:rPr>
          <w:noProof/>
          <w:szCs w:val="24"/>
        </w:rPr>
        <w:t xml:space="preserve">March </w:t>
      </w:r>
      <w:r w:rsidR="00ED3F1F">
        <w:rPr>
          <w:noProof/>
          <w:szCs w:val="24"/>
        </w:rPr>
        <w:t>2</w:t>
      </w:r>
      <w:r w:rsidR="003A7C88">
        <w:rPr>
          <w:noProof/>
          <w:szCs w:val="24"/>
        </w:rPr>
        <w:t>4</w:t>
      </w:r>
      <w:r w:rsidR="00751424">
        <w:rPr>
          <w:noProof/>
          <w:szCs w:val="24"/>
        </w:rPr>
        <w:t>, 201</w:t>
      </w:r>
      <w:r>
        <w:rPr>
          <w:noProof/>
          <w:szCs w:val="24"/>
        </w:rPr>
        <w:t>8</w:t>
      </w:r>
      <w:bookmarkStart w:id="0" w:name="_GoBack"/>
      <w:bookmarkEnd w:id="0"/>
    </w:p>
    <w:sectPr w:rsidR="004C6C0F" w:rsidRPr="004C6C0F" w:rsidSect="00C87DBB">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1C8F" w14:textId="77777777" w:rsidR="00604DE9" w:rsidRDefault="00604DE9">
      <w:r>
        <w:separator/>
      </w:r>
    </w:p>
  </w:endnote>
  <w:endnote w:type="continuationSeparator" w:id="0">
    <w:p w14:paraId="5813BAE0" w14:textId="77777777" w:rsidR="00604DE9" w:rsidRDefault="0060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FB51" w14:textId="77777777" w:rsidR="00604DE9" w:rsidRDefault="00604DE9">
      <w:r>
        <w:separator/>
      </w:r>
    </w:p>
  </w:footnote>
  <w:footnote w:type="continuationSeparator" w:id="0">
    <w:p w14:paraId="018AA645" w14:textId="77777777" w:rsidR="00604DE9" w:rsidRDefault="0060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5" w15:restartNumberingAfterBreak="0">
    <w:nsid w:val="240932E8"/>
    <w:multiLevelType w:val="multilevel"/>
    <w:tmpl w:val="96328C9C"/>
    <w:lvl w:ilvl="0">
      <w:start w:val="6"/>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8"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9"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2"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3"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6"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0"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1"/>
  </w:num>
  <w:num w:numId="4">
    <w:abstractNumId w:val="19"/>
  </w:num>
  <w:num w:numId="5">
    <w:abstractNumId w:val="8"/>
  </w:num>
  <w:num w:numId="6">
    <w:abstractNumId w:val="12"/>
  </w:num>
  <w:num w:numId="7">
    <w:abstractNumId w:val="18"/>
  </w:num>
  <w:num w:numId="8">
    <w:abstractNumId w:val="4"/>
  </w:num>
  <w:num w:numId="9">
    <w:abstractNumId w:val="9"/>
  </w:num>
  <w:num w:numId="10">
    <w:abstractNumId w:val="20"/>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2"/>
  </w:num>
  <w:num w:numId="16">
    <w:abstractNumId w:val="14"/>
  </w:num>
  <w:num w:numId="17">
    <w:abstractNumId w:val="22"/>
  </w:num>
  <w:num w:numId="18">
    <w:abstractNumId w:val="13"/>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11"/>
  </w:num>
  <w:num w:numId="23">
    <w:abstractNumId w:val="11"/>
  </w:num>
  <w:num w:numId="24">
    <w:abstractNumId w:val="6"/>
  </w:num>
  <w:num w:numId="25">
    <w:abstractNumId w:val="10"/>
  </w:num>
  <w:num w:numId="26">
    <w:abstractNumId w:val="11"/>
  </w:num>
  <w:num w:numId="2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136C"/>
    <w:rsid w:val="000138A1"/>
    <w:rsid w:val="000238C2"/>
    <w:rsid w:val="00030B7D"/>
    <w:rsid w:val="000352BE"/>
    <w:rsid w:val="00045EDF"/>
    <w:rsid w:val="00050344"/>
    <w:rsid w:val="00050D5E"/>
    <w:rsid w:val="000532A5"/>
    <w:rsid w:val="00057234"/>
    <w:rsid w:val="00062923"/>
    <w:rsid w:val="0006403E"/>
    <w:rsid w:val="000704F4"/>
    <w:rsid w:val="00071209"/>
    <w:rsid w:val="00071C8E"/>
    <w:rsid w:val="00080D47"/>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D0C50"/>
    <w:rsid w:val="000D7CB8"/>
    <w:rsid w:val="000E0EAD"/>
    <w:rsid w:val="000E2277"/>
    <w:rsid w:val="000E37BE"/>
    <w:rsid w:val="000E465F"/>
    <w:rsid w:val="000E4973"/>
    <w:rsid w:val="00114A76"/>
    <w:rsid w:val="0012339B"/>
    <w:rsid w:val="0012378E"/>
    <w:rsid w:val="00124312"/>
    <w:rsid w:val="00125596"/>
    <w:rsid w:val="00133371"/>
    <w:rsid w:val="00137876"/>
    <w:rsid w:val="00137D6C"/>
    <w:rsid w:val="0014267B"/>
    <w:rsid w:val="001430BC"/>
    <w:rsid w:val="0014476D"/>
    <w:rsid w:val="00144CA6"/>
    <w:rsid w:val="00163930"/>
    <w:rsid w:val="00165811"/>
    <w:rsid w:val="00167407"/>
    <w:rsid w:val="001677C7"/>
    <w:rsid w:val="00167FF0"/>
    <w:rsid w:val="00170D66"/>
    <w:rsid w:val="00171C98"/>
    <w:rsid w:val="00173A40"/>
    <w:rsid w:val="00175065"/>
    <w:rsid w:val="00180D38"/>
    <w:rsid w:val="0018744B"/>
    <w:rsid w:val="001942AB"/>
    <w:rsid w:val="001A0738"/>
    <w:rsid w:val="001A30A6"/>
    <w:rsid w:val="001A6B70"/>
    <w:rsid w:val="001B00F9"/>
    <w:rsid w:val="001B2004"/>
    <w:rsid w:val="001B71FA"/>
    <w:rsid w:val="001C01D1"/>
    <w:rsid w:val="001C0C1A"/>
    <w:rsid w:val="001C76CC"/>
    <w:rsid w:val="001D6C01"/>
    <w:rsid w:val="001E21CE"/>
    <w:rsid w:val="00200BF9"/>
    <w:rsid w:val="00202D8D"/>
    <w:rsid w:val="00215EA7"/>
    <w:rsid w:val="00224CB4"/>
    <w:rsid w:val="00226A72"/>
    <w:rsid w:val="002278D0"/>
    <w:rsid w:val="00231B50"/>
    <w:rsid w:val="00234A76"/>
    <w:rsid w:val="00234A77"/>
    <w:rsid w:val="00240DC0"/>
    <w:rsid w:val="00243591"/>
    <w:rsid w:val="00256ED9"/>
    <w:rsid w:val="002608C5"/>
    <w:rsid w:val="00262F29"/>
    <w:rsid w:val="00277ABE"/>
    <w:rsid w:val="002826E8"/>
    <w:rsid w:val="00283452"/>
    <w:rsid w:val="00283EA8"/>
    <w:rsid w:val="0028719A"/>
    <w:rsid w:val="00291E65"/>
    <w:rsid w:val="002B0F67"/>
    <w:rsid w:val="002B1EC8"/>
    <w:rsid w:val="002B2EC6"/>
    <w:rsid w:val="002C045D"/>
    <w:rsid w:val="002C0F35"/>
    <w:rsid w:val="002C26A6"/>
    <w:rsid w:val="002C47A6"/>
    <w:rsid w:val="002C63BF"/>
    <w:rsid w:val="002C6467"/>
    <w:rsid w:val="002D098B"/>
    <w:rsid w:val="002D22B3"/>
    <w:rsid w:val="002D2748"/>
    <w:rsid w:val="002E5A87"/>
    <w:rsid w:val="002F45FF"/>
    <w:rsid w:val="002F6F2B"/>
    <w:rsid w:val="00304BE7"/>
    <w:rsid w:val="00305B62"/>
    <w:rsid w:val="0031537E"/>
    <w:rsid w:val="0032166B"/>
    <w:rsid w:val="00324140"/>
    <w:rsid w:val="0032533D"/>
    <w:rsid w:val="00327EBB"/>
    <w:rsid w:val="00330B5A"/>
    <w:rsid w:val="00331F10"/>
    <w:rsid w:val="003343DD"/>
    <w:rsid w:val="00337344"/>
    <w:rsid w:val="00341BA2"/>
    <w:rsid w:val="00341C59"/>
    <w:rsid w:val="003515B8"/>
    <w:rsid w:val="00352B7A"/>
    <w:rsid w:val="00360013"/>
    <w:rsid w:val="00376FFC"/>
    <w:rsid w:val="00381AAD"/>
    <w:rsid w:val="0039383B"/>
    <w:rsid w:val="00393A82"/>
    <w:rsid w:val="00393AEF"/>
    <w:rsid w:val="00394570"/>
    <w:rsid w:val="00396E83"/>
    <w:rsid w:val="003A0550"/>
    <w:rsid w:val="003A2FB0"/>
    <w:rsid w:val="003A395D"/>
    <w:rsid w:val="003A50B1"/>
    <w:rsid w:val="003A7C88"/>
    <w:rsid w:val="003B0D64"/>
    <w:rsid w:val="003D14E5"/>
    <w:rsid w:val="003D2ADF"/>
    <w:rsid w:val="003D6F27"/>
    <w:rsid w:val="003E7EF3"/>
    <w:rsid w:val="003F0974"/>
    <w:rsid w:val="003F72D9"/>
    <w:rsid w:val="004001A5"/>
    <w:rsid w:val="00401398"/>
    <w:rsid w:val="00410634"/>
    <w:rsid w:val="004109AB"/>
    <w:rsid w:val="00410B08"/>
    <w:rsid w:val="00412369"/>
    <w:rsid w:val="004138EB"/>
    <w:rsid w:val="00415741"/>
    <w:rsid w:val="00417C8F"/>
    <w:rsid w:val="00422E6E"/>
    <w:rsid w:val="004243AA"/>
    <w:rsid w:val="0043017F"/>
    <w:rsid w:val="004341AA"/>
    <w:rsid w:val="00437D80"/>
    <w:rsid w:val="00441DB2"/>
    <w:rsid w:val="0044528A"/>
    <w:rsid w:val="0044595B"/>
    <w:rsid w:val="004472A0"/>
    <w:rsid w:val="0045229A"/>
    <w:rsid w:val="004538D4"/>
    <w:rsid w:val="004549F7"/>
    <w:rsid w:val="0045792A"/>
    <w:rsid w:val="004605AF"/>
    <w:rsid w:val="00464C63"/>
    <w:rsid w:val="00465358"/>
    <w:rsid w:val="004669E5"/>
    <w:rsid w:val="004749CA"/>
    <w:rsid w:val="00477B7D"/>
    <w:rsid w:val="004825FF"/>
    <w:rsid w:val="00486A22"/>
    <w:rsid w:val="00487346"/>
    <w:rsid w:val="00490749"/>
    <w:rsid w:val="00492D7A"/>
    <w:rsid w:val="00495FFD"/>
    <w:rsid w:val="004A026D"/>
    <w:rsid w:val="004A290A"/>
    <w:rsid w:val="004B702D"/>
    <w:rsid w:val="004C4725"/>
    <w:rsid w:val="004C4F5A"/>
    <w:rsid w:val="004C6C0F"/>
    <w:rsid w:val="004D0A3D"/>
    <w:rsid w:val="004E21EF"/>
    <w:rsid w:val="004E3EDF"/>
    <w:rsid w:val="004F4DD5"/>
    <w:rsid w:val="004F755D"/>
    <w:rsid w:val="00501F79"/>
    <w:rsid w:val="00505540"/>
    <w:rsid w:val="0051277B"/>
    <w:rsid w:val="00522537"/>
    <w:rsid w:val="005308C3"/>
    <w:rsid w:val="00530913"/>
    <w:rsid w:val="00544C1F"/>
    <w:rsid w:val="00552EF2"/>
    <w:rsid w:val="00561F26"/>
    <w:rsid w:val="005664B6"/>
    <w:rsid w:val="0057081F"/>
    <w:rsid w:val="00572C83"/>
    <w:rsid w:val="00584F02"/>
    <w:rsid w:val="00596702"/>
    <w:rsid w:val="005A70FD"/>
    <w:rsid w:val="005A7AFD"/>
    <w:rsid w:val="005B61DC"/>
    <w:rsid w:val="005D76B6"/>
    <w:rsid w:val="005E15C2"/>
    <w:rsid w:val="005E78C2"/>
    <w:rsid w:val="005F0C9F"/>
    <w:rsid w:val="005F5F97"/>
    <w:rsid w:val="005F733C"/>
    <w:rsid w:val="006005DC"/>
    <w:rsid w:val="00604DE9"/>
    <w:rsid w:val="00605AF4"/>
    <w:rsid w:val="00606219"/>
    <w:rsid w:val="0060673A"/>
    <w:rsid w:val="00610999"/>
    <w:rsid w:val="00613841"/>
    <w:rsid w:val="00615395"/>
    <w:rsid w:val="00616F54"/>
    <w:rsid w:val="00623287"/>
    <w:rsid w:val="00625632"/>
    <w:rsid w:val="006404DD"/>
    <w:rsid w:val="00642871"/>
    <w:rsid w:val="00643EFB"/>
    <w:rsid w:val="006441BF"/>
    <w:rsid w:val="00655B0C"/>
    <w:rsid w:val="00667281"/>
    <w:rsid w:val="00670D59"/>
    <w:rsid w:val="0067685E"/>
    <w:rsid w:val="00682AFD"/>
    <w:rsid w:val="00691FDF"/>
    <w:rsid w:val="006A5227"/>
    <w:rsid w:val="006A7401"/>
    <w:rsid w:val="006B42E2"/>
    <w:rsid w:val="006C02A8"/>
    <w:rsid w:val="006C2DC2"/>
    <w:rsid w:val="006C39A5"/>
    <w:rsid w:val="006E06E9"/>
    <w:rsid w:val="006E231F"/>
    <w:rsid w:val="006F15B5"/>
    <w:rsid w:val="006F4AA9"/>
    <w:rsid w:val="006F58E1"/>
    <w:rsid w:val="006F798D"/>
    <w:rsid w:val="00703959"/>
    <w:rsid w:val="0070569A"/>
    <w:rsid w:val="00705E07"/>
    <w:rsid w:val="00706F50"/>
    <w:rsid w:val="007155C6"/>
    <w:rsid w:val="007203E0"/>
    <w:rsid w:val="00731C09"/>
    <w:rsid w:val="007348D2"/>
    <w:rsid w:val="00737321"/>
    <w:rsid w:val="007400A5"/>
    <w:rsid w:val="00741166"/>
    <w:rsid w:val="007424F3"/>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9186D"/>
    <w:rsid w:val="00795CE5"/>
    <w:rsid w:val="007A4B57"/>
    <w:rsid w:val="007A5AE9"/>
    <w:rsid w:val="007B314A"/>
    <w:rsid w:val="007B3550"/>
    <w:rsid w:val="007C0F5F"/>
    <w:rsid w:val="007C1A54"/>
    <w:rsid w:val="007C2233"/>
    <w:rsid w:val="007C4AD8"/>
    <w:rsid w:val="007C7D01"/>
    <w:rsid w:val="007D46E1"/>
    <w:rsid w:val="007D54DF"/>
    <w:rsid w:val="007D7AF7"/>
    <w:rsid w:val="007F4A5F"/>
    <w:rsid w:val="007F4B81"/>
    <w:rsid w:val="007F6F6B"/>
    <w:rsid w:val="008013BA"/>
    <w:rsid w:val="008058EE"/>
    <w:rsid w:val="00813D0A"/>
    <w:rsid w:val="008256B9"/>
    <w:rsid w:val="0083453F"/>
    <w:rsid w:val="00840D77"/>
    <w:rsid w:val="00841859"/>
    <w:rsid w:val="00841870"/>
    <w:rsid w:val="00853291"/>
    <w:rsid w:val="008636C0"/>
    <w:rsid w:val="0086438A"/>
    <w:rsid w:val="008646BD"/>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435B"/>
    <w:rsid w:val="008B5DB5"/>
    <w:rsid w:val="008C347A"/>
    <w:rsid w:val="008D682E"/>
    <w:rsid w:val="008D6F99"/>
    <w:rsid w:val="008D7B93"/>
    <w:rsid w:val="008E0336"/>
    <w:rsid w:val="008E2A6D"/>
    <w:rsid w:val="008E3DE8"/>
    <w:rsid w:val="008E79EC"/>
    <w:rsid w:val="009001A5"/>
    <w:rsid w:val="0090047E"/>
    <w:rsid w:val="00903067"/>
    <w:rsid w:val="00911E4A"/>
    <w:rsid w:val="00915FE5"/>
    <w:rsid w:val="009169F4"/>
    <w:rsid w:val="00916CBF"/>
    <w:rsid w:val="009229FF"/>
    <w:rsid w:val="00922B38"/>
    <w:rsid w:val="00926F79"/>
    <w:rsid w:val="00930253"/>
    <w:rsid w:val="009363E5"/>
    <w:rsid w:val="009437A7"/>
    <w:rsid w:val="00960621"/>
    <w:rsid w:val="00961749"/>
    <w:rsid w:val="00961DB2"/>
    <w:rsid w:val="009665A0"/>
    <w:rsid w:val="00967E5B"/>
    <w:rsid w:val="009837C5"/>
    <w:rsid w:val="00987EF1"/>
    <w:rsid w:val="00990770"/>
    <w:rsid w:val="00993161"/>
    <w:rsid w:val="009939B8"/>
    <w:rsid w:val="00993A76"/>
    <w:rsid w:val="009A11D2"/>
    <w:rsid w:val="009A3D35"/>
    <w:rsid w:val="009A7402"/>
    <w:rsid w:val="009B442E"/>
    <w:rsid w:val="009B5C2E"/>
    <w:rsid w:val="009C0186"/>
    <w:rsid w:val="009C1FD8"/>
    <w:rsid w:val="009C5207"/>
    <w:rsid w:val="009D072B"/>
    <w:rsid w:val="009E688D"/>
    <w:rsid w:val="00A00FFF"/>
    <w:rsid w:val="00A04721"/>
    <w:rsid w:val="00A058FF"/>
    <w:rsid w:val="00A0715A"/>
    <w:rsid w:val="00A1537D"/>
    <w:rsid w:val="00A20DA9"/>
    <w:rsid w:val="00A24BB5"/>
    <w:rsid w:val="00A33112"/>
    <w:rsid w:val="00A55856"/>
    <w:rsid w:val="00A579FC"/>
    <w:rsid w:val="00A610C0"/>
    <w:rsid w:val="00A6148B"/>
    <w:rsid w:val="00A813AD"/>
    <w:rsid w:val="00A85EC5"/>
    <w:rsid w:val="00A878F1"/>
    <w:rsid w:val="00A9323A"/>
    <w:rsid w:val="00AA0DD3"/>
    <w:rsid w:val="00AA38EC"/>
    <w:rsid w:val="00AA6B53"/>
    <w:rsid w:val="00AB5D17"/>
    <w:rsid w:val="00AC4427"/>
    <w:rsid w:val="00AC4902"/>
    <w:rsid w:val="00AD4E63"/>
    <w:rsid w:val="00AD7EFF"/>
    <w:rsid w:val="00AE0192"/>
    <w:rsid w:val="00AE1A88"/>
    <w:rsid w:val="00AE35C5"/>
    <w:rsid w:val="00AE4687"/>
    <w:rsid w:val="00AE6E84"/>
    <w:rsid w:val="00AF0B1E"/>
    <w:rsid w:val="00AF0DF7"/>
    <w:rsid w:val="00AF4E88"/>
    <w:rsid w:val="00B01A1D"/>
    <w:rsid w:val="00B074F5"/>
    <w:rsid w:val="00B16F8F"/>
    <w:rsid w:val="00B20898"/>
    <w:rsid w:val="00B33D93"/>
    <w:rsid w:val="00B33DD0"/>
    <w:rsid w:val="00B344A7"/>
    <w:rsid w:val="00B43C7A"/>
    <w:rsid w:val="00B4465B"/>
    <w:rsid w:val="00B5257C"/>
    <w:rsid w:val="00B540F3"/>
    <w:rsid w:val="00B60C58"/>
    <w:rsid w:val="00B678E2"/>
    <w:rsid w:val="00B67B37"/>
    <w:rsid w:val="00B67E5A"/>
    <w:rsid w:val="00B7315B"/>
    <w:rsid w:val="00B81903"/>
    <w:rsid w:val="00B81BD0"/>
    <w:rsid w:val="00B95833"/>
    <w:rsid w:val="00BA2F1B"/>
    <w:rsid w:val="00BA77DC"/>
    <w:rsid w:val="00BB360E"/>
    <w:rsid w:val="00BB474F"/>
    <w:rsid w:val="00BB6DAC"/>
    <w:rsid w:val="00BC352E"/>
    <w:rsid w:val="00BC489D"/>
    <w:rsid w:val="00BC67D9"/>
    <w:rsid w:val="00BD160A"/>
    <w:rsid w:val="00BD198F"/>
    <w:rsid w:val="00BD1FDC"/>
    <w:rsid w:val="00BE2388"/>
    <w:rsid w:val="00BE2823"/>
    <w:rsid w:val="00BF0F3B"/>
    <w:rsid w:val="00BF2584"/>
    <w:rsid w:val="00BF481F"/>
    <w:rsid w:val="00C05881"/>
    <w:rsid w:val="00C07D9A"/>
    <w:rsid w:val="00C11001"/>
    <w:rsid w:val="00C110E2"/>
    <w:rsid w:val="00C27F80"/>
    <w:rsid w:val="00C33708"/>
    <w:rsid w:val="00C479A3"/>
    <w:rsid w:val="00C63E20"/>
    <w:rsid w:val="00C63F18"/>
    <w:rsid w:val="00C64F9B"/>
    <w:rsid w:val="00C66E12"/>
    <w:rsid w:val="00C718E8"/>
    <w:rsid w:val="00C72450"/>
    <w:rsid w:val="00C74485"/>
    <w:rsid w:val="00C803DB"/>
    <w:rsid w:val="00C80AC6"/>
    <w:rsid w:val="00C8626E"/>
    <w:rsid w:val="00C87DBB"/>
    <w:rsid w:val="00C902DB"/>
    <w:rsid w:val="00CA5CC3"/>
    <w:rsid w:val="00CB0283"/>
    <w:rsid w:val="00CC0A41"/>
    <w:rsid w:val="00CC2686"/>
    <w:rsid w:val="00CD0C9D"/>
    <w:rsid w:val="00CD4F74"/>
    <w:rsid w:val="00CE4564"/>
    <w:rsid w:val="00CE4A40"/>
    <w:rsid w:val="00CF34B3"/>
    <w:rsid w:val="00CF673F"/>
    <w:rsid w:val="00D01921"/>
    <w:rsid w:val="00D02702"/>
    <w:rsid w:val="00D05AC8"/>
    <w:rsid w:val="00D06C2A"/>
    <w:rsid w:val="00D23222"/>
    <w:rsid w:val="00D2482E"/>
    <w:rsid w:val="00D27AFC"/>
    <w:rsid w:val="00D27BE4"/>
    <w:rsid w:val="00D32BB2"/>
    <w:rsid w:val="00D3778E"/>
    <w:rsid w:val="00D44067"/>
    <w:rsid w:val="00D448FC"/>
    <w:rsid w:val="00D51965"/>
    <w:rsid w:val="00D535A5"/>
    <w:rsid w:val="00D62606"/>
    <w:rsid w:val="00D645A5"/>
    <w:rsid w:val="00D64938"/>
    <w:rsid w:val="00D65BB0"/>
    <w:rsid w:val="00D72DB9"/>
    <w:rsid w:val="00D81FA0"/>
    <w:rsid w:val="00D8454C"/>
    <w:rsid w:val="00D869CD"/>
    <w:rsid w:val="00D9451D"/>
    <w:rsid w:val="00D966DC"/>
    <w:rsid w:val="00DA2472"/>
    <w:rsid w:val="00DB0C81"/>
    <w:rsid w:val="00DB230C"/>
    <w:rsid w:val="00DB4A6D"/>
    <w:rsid w:val="00DB4F00"/>
    <w:rsid w:val="00DD1EB5"/>
    <w:rsid w:val="00DD4CF3"/>
    <w:rsid w:val="00DE1E41"/>
    <w:rsid w:val="00DF71A9"/>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727EF"/>
    <w:rsid w:val="00E7684A"/>
    <w:rsid w:val="00E77F41"/>
    <w:rsid w:val="00E87B3F"/>
    <w:rsid w:val="00E94592"/>
    <w:rsid w:val="00E95A52"/>
    <w:rsid w:val="00EA008A"/>
    <w:rsid w:val="00EA3081"/>
    <w:rsid w:val="00EB2DA8"/>
    <w:rsid w:val="00EB33AB"/>
    <w:rsid w:val="00EB6ABE"/>
    <w:rsid w:val="00EB724E"/>
    <w:rsid w:val="00EB7494"/>
    <w:rsid w:val="00EC41EF"/>
    <w:rsid w:val="00ED3F1F"/>
    <w:rsid w:val="00EE4B0A"/>
    <w:rsid w:val="00EE6575"/>
    <w:rsid w:val="00EE7233"/>
    <w:rsid w:val="00EE7C8C"/>
    <w:rsid w:val="00EF50F9"/>
    <w:rsid w:val="00F0201B"/>
    <w:rsid w:val="00F0276D"/>
    <w:rsid w:val="00F04A9B"/>
    <w:rsid w:val="00F069C7"/>
    <w:rsid w:val="00F1498C"/>
    <w:rsid w:val="00F14DE4"/>
    <w:rsid w:val="00F21798"/>
    <w:rsid w:val="00F21B41"/>
    <w:rsid w:val="00F23052"/>
    <w:rsid w:val="00F25D72"/>
    <w:rsid w:val="00F27D93"/>
    <w:rsid w:val="00F43513"/>
    <w:rsid w:val="00F4651F"/>
    <w:rsid w:val="00F46F6E"/>
    <w:rsid w:val="00F51037"/>
    <w:rsid w:val="00F52E25"/>
    <w:rsid w:val="00F53AF5"/>
    <w:rsid w:val="00F53FAB"/>
    <w:rsid w:val="00F542D9"/>
    <w:rsid w:val="00F71721"/>
    <w:rsid w:val="00F723F8"/>
    <w:rsid w:val="00F8440C"/>
    <w:rsid w:val="00F86BEE"/>
    <w:rsid w:val="00F90200"/>
    <w:rsid w:val="00FA0EE8"/>
    <w:rsid w:val="00FA7642"/>
    <w:rsid w:val="00FB5D35"/>
    <w:rsid w:val="00FC51A1"/>
    <w:rsid w:val="00FC73F1"/>
    <w:rsid w:val="00FD7ECA"/>
    <w:rsid w:val="00FE0ED8"/>
    <w:rsid w:val="00FE10C4"/>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15:docId w15:val="{44C447BF-D6F9-4C6F-9A25-F7BB0025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p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s-gm.org/2018/" TargetMode="External"/><Relationship Id="rId4" Type="http://schemas.openxmlformats.org/officeDocument/2006/relationships/settings" Target="settings.xml"/><Relationship Id="rId9" Type="http://schemas.openxmlformats.org/officeDocument/2006/relationships/hyperlink" Target="http://www.ieeet-d.org/IEEE18/public/en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48EB-9A0C-4D1A-ADB9-34E0EB15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828</Words>
  <Characters>5188</Characters>
  <Application>Microsoft Office Word</Application>
  <DocSecurity>0</DocSecurity>
  <Lines>207</Lines>
  <Paragraphs>194</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5822</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Bruce Forsyth</cp:lastModifiedBy>
  <cp:revision>40</cp:revision>
  <cp:lastPrinted>2016-03-08T02:13:00Z</cp:lastPrinted>
  <dcterms:created xsi:type="dcterms:W3CDTF">2018-03-13T01:23:00Z</dcterms:created>
  <dcterms:modified xsi:type="dcterms:W3CDTF">2018-03-25T00:32:00Z</dcterms:modified>
</cp:coreProperties>
</file>