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F9" w:rsidRPr="00C81AF9" w:rsidRDefault="00C81AF9" w:rsidP="00C81AF9">
      <w:pPr>
        <w:pStyle w:val="Default"/>
        <w:rPr>
          <w:lang w:val="en-GB"/>
        </w:rPr>
      </w:pPr>
      <w:r w:rsidRPr="00C81AF9">
        <w:rPr>
          <w:lang w:val="en-GB"/>
        </w:rPr>
        <w:t>IEEE PES TRANSFORMERS COMMITTEE</w:t>
      </w:r>
    </w:p>
    <w:p w:rsidR="00C81AF9" w:rsidRPr="00C81AF9" w:rsidRDefault="00C81AF9" w:rsidP="00C81AF9">
      <w:pPr>
        <w:pStyle w:val="Default"/>
        <w:rPr>
          <w:lang w:val="en-GB"/>
        </w:rPr>
      </w:pPr>
      <w:r w:rsidRPr="00C81AF9">
        <w:rPr>
          <w:lang w:val="en-GB"/>
        </w:rPr>
        <w:t>Spring 2021 Meeting; Virtual Meeting</w:t>
      </w:r>
    </w:p>
    <w:p w:rsidR="00C81AF9" w:rsidRDefault="00C81AF9" w:rsidP="00C81AF9">
      <w:pPr>
        <w:pStyle w:val="Default"/>
      </w:pPr>
      <w:r>
        <w:t xml:space="preserve">General </w:t>
      </w:r>
      <w:proofErr w:type="spellStart"/>
      <w:r>
        <w:t>Sessions</w:t>
      </w:r>
      <w:proofErr w:type="spellEnd"/>
    </w:p>
    <w:p w:rsidR="00C81AF9" w:rsidRDefault="00C81AF9" w:rsidP="00C81AF9">
      <w:pPr>
        <w:pStyle w:val="Default"/>
      </w:pPr>
    </w:p>
    <w:p w:rsidR="00C81AF9" w:rsidRDefault="00C81AF9" w:rsidP="00C81AF9">
      <w:pPr>
        <w:pStyle w:val="Default"/>
      </w:pPr>
    </w:p>
    <w:p w:rsidR="00C81AF9" w:rsidRPr="00C81AF9" w:rsidRDefault="00C81AF9" w:rsidP="00C81AF9">
      <w:pPr>
        <w:pStyle w:val="Default"/>
        <w:rPr>
          <w:sz w:val="22"/>
          <w:szCs w:val="22"/>
          <w:lang w:val="en-GB"/>
        </w:rPr>
      </w:pPr>
      <w:r w:rsidRPr="00C81AF9">
        <w:rPr>
          <w:b/>
          <w:bCs/>
          <w:sz w:val="22"/>
          <w:szCs w:val="22"/>
          <w:lang w:val="en-GB"/>
        </w:rPr>
        <w:t xml:space="preserve">Opening Session </w:t>
      </w:r>
    </w:p>
    <w:p w:rsidR="00C81AF9" w:rsidRPr="00C81AF9" w:rsidRDefault="00C81AF9" w:rsidP="00C81AF9">
      <w:pPr>
        <w:pStyle w:val="Default"/>
        <w:rPr>
          <w:lang w:val="en-GB"/>
        </w:rPr>
      </w:pPr>
      <w:r w:rsidRPr="00C81AF9">
        <w:rPr>
          <w:b/>
          <w:bCs/>
          <w:sz w:val="20"/>
          <w:szCs w:val="20"/>
          <w:lang w:val="en-GB"/>
        </w:rPr>
        <w:t>Monday, April 26, 2021: 8:00 am - 9:00 am CDT (UTC-05:00)</w:t>
      </w:r>
    </w:p>
    <w:p w:rsidR="00C81AF9" w:rsidRPr="00C81AF9" w:rsidRDefault="00C81AF9" w:rsidP="00C81AF9">
      <w:pPr>
        <w:pStyle w:val="Default"/>
        <w:rPr>
          <w:lang w:val="en-GB"/>
        </w:rPr>
      </w:pPr>
      <w:r w:rsidRPr="00C81AF9">
        <w:rPr>
          <w:lang w:val="en-GB"/>
        </w:rPr>
        <w:t xml:space="preserve"> </w:t>
      </w:r>
    </w:p>
    <w:p w:rsidR="00C81AF9" w:rsidRPr="00C81AF9" w:rsidRDefault="00C81AF9" w:rsidP="00C81AF9">
      <w:pPr>
        <w:pStyle w:val="Default"/>
        <w:rPr>
          <w:lang w:val="en-GB"/>
        </w:rPr>
      </w:pPr>
      <w:r w:rsidRPr="00C81AF9">
        <w:rPr>
          <w:lang w:val="en-GB"/>
        </w:rPr>
        <w:t xml:space="preserve"> </w:t>
      </w:r>
    </w:p>
    <w:p w:rsidR="00C81AF9" w:rsidRDefault="00C81AF9" w:rsidP="00C81AF9">
      <w:pPr>
        <w:pStyle w:val="Default"/>
        <w:rPr>
          <w:sz w:val="28"/>
          <w:szCs w:val="28"/>
          <w:lang w:val="en-GB"/>
        </w:rPr>
      </w:pPr>
      <w:r w:rsidRPr="00C81AF9">
        <w:rPr>
          <w:sz w:val="28"/>
          <w:szCs w:val="28"/>
          <w:lang w:val="en-GB"/>
        </w:rPr>
        <w:t xml:space="preserve">10.5. Transactions on Power and Delivery (TPWRD) Editor Liaison </w:t>
      </w:r>
    </w:p>
    <w:p w:rsidR="00BA1868" w:rsidRDefault="00BA1868" w:rsidP="00C81AF9">
      <w:pPr>
        <w:pStyle w:val="Default"/>
        <w:rPr>
          <w:sz w:val="28"/>
          <w:szCs w:val="28"/>
          <w:lang w:val="en-GB"/>
        </w:rPr>
      </w:pPr>
    </w:p>
    <w:p w:rsidR="00BA1868" w:rsidRPr="00BA1868" w:rsidRDefault="00BA1868" w:rsidP="00C81AF9">
      <w:pPr>
        <w:pStyle w:val="Default"/>
        <w:rPr>
          <w:b/>
          <w:sz w:val="20"/>
          <w:szCs w:val="20"/>
          <w:lang w:val="en-GB"/>
        </w:rPr>
      </w:pPr>
      <w:r w:rsidRPr="00BA1868">
        <w:rPr>
          <w:b/>
          <w:sz w:val="20"/>
          <w:szCs w:val="20"/>
          <w:lang w:val="en-GB"/>
        </w:rPr>
        <w:t>Editor’s Report</w:t>
      </w:r>
    </w:p>
    <w:p w:rsidR="00BA1868" w:rsidRPr="00BA1868" w:rsidRDefault="00BA1868" w:rsidP="00C81AF9">
      <w:pPr>
        <w:pStyle w:val="Default"/>
        <w:rPr>
          <w:sz w:val="20"/>
          <w:szCs w:val="20"/>
          <w:lang w:val="en-GB"/>
        </w:rPr>
      </w:pPr>
      <w:r w:rsidRPr="00BA1868">
        <w:rPr>
          <w:sz w:val="20"/>
          <w:szCs w:val="20"/>
          <w:lang w:val="en-GB"/>
        </w:rPr>
        <w:t>Xose M. LOPEZ-FERNANDEZ</w:t>
      </w:r>
    </w:p>
    <w:p w:rsidR="009B3299" w:rsidRPr="00BA1868" w:rsidRDefault="009B3299" w:rsidP="00C81AF9">
      <w:pPr>
        <w:pStyle w:val="Default"/>
        <w:rPr>
          <w:sz w:val="20"/>
          <w:szCs w:val="20"/>
          <w:lang w:val="en-GB"/>
        </w:rPr>
      </w:pPr>
    </w:p>
    <w:p w:rsidR="009B3299" w:rsidRPr="00BA1868" w:rsidRDefault="009B3299" w:rsidP="009B3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BA1868">
        <w:rPr>
          <w:rFonts w:ascii="Arial" w:hAnsi="Arial" w:cs="Arial"/>
          <w:sz w:val="20"/>
          <w:szCs w:val="20"/>
          <w:lang w:val="en-GB"/>
        </w:rPr>
        <w:t>During 2020</w:t>
      </w:r>
      <w:r w:rsidRPr="00BA1868">
        <w:rPr>
          <w:rFonts w:ascii="Arial" w:hAnsi="Arial" w:cs="Arial"/>
          <w:sz w:val="20"/>
          <w:szCs w:val="20"/>
          <w:lang w:val="en-GB"/>
        </w:rPr>
        <w:t xml:space="preserve"> a total of </w:t>
      </w:r>
      <w:r w:rsidRPr="00BA1868">
        <w:rPr>
          <w:rFonts w:ascii="Arial" w:hAnsi="Arial" w:cs="Arial"/>
          <w:sz w:val="20"/>
          <w:szCs w:val="20"/>
          <w:lang w:val="en-GB"/>
        </w:rPr>
        <w:t>86</w:t>
      </w:r>
      <w:r w:rsidRPr="00BA1868">
        <w:rPr>
          <w:rFonts w:ascii="Arial" w:hAnsi="Arial" w:cs="Arial"/>
          <w:sz w:val="20"/>
          <w:szCs w:val="20"/>
          <w:lang w:val="en-GB"/>
        </w:rPr>
        <w:t xml:space="preserve"> papers were in editorial review in the transformer</w:t>
      </w:r>
      <w:r w:rsidRPr="00BA1868">
        <w:rPr>
          <w:rFonts w:ascii="Arial" w:hAnsi="Arial" w:cs="Arial"/>
          <w:sz w:val="20"/>
          <w:szCs w:val="20"/>
          <w:lang w:val="en-GB"/>
        </w:rPr>
        <w:t xml:space="preserve"> </w:t>
      </w:r>
      <w:r w:rsidRPr="00BA1868">
        <w:rPr>
          <w:rFonts w:ascii="Arial" w:hAnsi="Arial" w:cs="Arial"/>
          <w:sz w:val="20"/>
          <w:szCs w:val="20"/>
          <w:lang w:val="en-GB"/>
        </w:rPr>
        <w:t xml:space="preserve">area of IEEE Transactions on Power Delivery for possible publication. For all of these papers </w:t>
      </w:r>
      <w:proofErr w:type="gramStart"/>
      <w:r w:rsidRPr="00BA1868">
        <w:rPr>
          <w:rFonts w:ascii="Arial" w:hAnsi="Arial" w:cs="Arial"/>
          <w:sz w:val="20"/>
          <w:szCs w:val="20"/>
          <w:lang w:val="en-GB"/>
        </w:rPr>
        <w:t>the</w:t>
      </w:r>
      <w:r w:rsidR="00083340">
        <w:rPr>
          <w:rFonts w:ascii="Arial" w:hAnsi="Arial" w:cs="Arial"/>
          <w:sz w:val="20"/>
          <w:szCs w:val="20"/>
          <w:lang w:val="en-GB"/>
        </w:rPr>
        <w:t xml:space="preserve"> </w:t>
      </w:r>
      <w:r w:rsidRPr="00BA1868">
        <w:rPr>
          <w:rFonts w:ascii="Arial" w:hAnsi="Arial" w:cs="Arial"/>
          <w:sz w:val="20"/>
          <w:szCs w:val="20"/>
          <w:lang w:val="en-GB"/>
        </w:rPr>
        <w:t xml:space="preserve"> </w:t>
      </w:r>
      <w:r w:rsidRPr="00BA1868">
        <w:rPr>
          <w:rFonts w:ascii="Arial" w:hAnsi="Arial" w:cs="Arial"/>
          <w:sz w:val="20"/>
          <w:szCs w:val="20"/>
          <w:lang w:val="en-GB"/>
        </w:rPr>
        <w:t>recommendations</w:t>
      </w:r>
      <w:proofErr w:type="gramEnd"/>
      <w:r w:rsidRPr="00BA1868">
        <w:rPr>
          <w:rFonts w:ascii="Arial" w:hAnsi="Arial" w:cs="Arial"/>
          <w:sz w:val="20"/>
          <w:szCs w:val="20"/>
          <w:lang w:val="en-GB"/>
        </w:rPr>
        <w:t xml:space="preserve"> were as follows</w:t>
      </w:r>
      <w:r w:rsidR="00860939" w:rsidRPr="00BA1868">
        <w:rPr>
          <w:rFonts w:ascii="Arial" w:hAnsi="Arial" w:cs="Arial"/>
          <w:sz w:val="20"/>
          <w:szCs w:val="20"/>
          <w:lang w:val="en-GB"/>
        </w:rPr>
        <w:t>:</w:t>
      </w:r>
    </w:p>
    <w:p w:rsidR="009B3299" w:rsidRPr="00BA1868" w:rsidRDefault="009B3299" w:rsidP="00860939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0"/>
          <w:szCs w:val="20"/>
          <w:lang w:val="en-GB"/>
        </w:rPr>
      </w:pPr>
    </w:p>
    <w:p w:rsidR="009B3299" w:rsidRPr="00BA1868" w:rsidRDefault="009B3299" w:rsidP="00860939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0"/>
          <w:szCs w:val="20"/>
          <w:lang w:val="en-GB"/>
        </w:rPr>
      </w:pPr>
      <w:r w:rsidRPr="00BA1868">
        <w:rPr>
          <w:rFonts w:ascii="Arial" w:hAnsi="Arial" w:cs="Arial"/>
          <w:sz w:val="20"/>
          <w:szCs w:val="20"/>
          <w:lang w:val="en-GB"/>
        </w:rPr>
        <w:t>Accept:</w:t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  <w:t>21</w:t>
      </w:r>
    </w:p>
    <w:p w:rsidR="00C81AF9" w:rsidRPr="00BA1868" w:rsidRDefault="009B3299" w:rsidP="00860939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0"/>
          <w:szCs w:val="20"/>
          <w:lang w:val="en-GB"/>
        </w:rPr>
      </w:pPr>
      <w:r w:rsidRPr="00BA1868">
        <w:rPr>
          <w:rFonts w:ascii="Arial" w:hAnsi="Arial" w:cs="Arial"/>
          <w:sz w:val="20"/>
          <w:szCs w:val="20"/>
          <w:lang w:val="en-GB"/>
        </w:rPr>
        <w:t>Reject (Administrative/Editorial/Technical):</w:t>
      </w:r>
      <w:r w:rsidRPr="00BA1868">
        <w:rPr>
          <w:rFonts w:ascii="Arial" w:hAnsi="Arial" w:cs="Arial"/>
          <w:sz w:val="20"/>
          <w:szCs w:val="20"/>
          <w:lang w:val="en-GB"/>
        </w:rPr>
        <w:tab/>
        <w:t>62</w:t>
      </w:r>
    </w:p>
    <w:p w:rsidR="00C81AF9" w:rsidRPr="00BA1868" w:rsidRDefault="009B3299" w:rsidP="00083340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0"/>
          <w:szCs w:val="20"/>
          <w:lang w:val="en-GB"/>
        </w:rPr>
      </w:pPr>
      <w:r w:rsidRPr="00BA1868">
        <w:rPr>
          <w:rFonts w:ascii="Arial" w:hAnsi="Arial" w:cs="Arial"/>
          <w:sz w:val="20"/>
          <w:szCs w:val="20"/>
          <w:lang w:val="en-GB"/>
        </w:rPr>
        <w:t>Under review:</w:t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r w:rsidRPr="00BA1868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BA1868">
        <w:rPr>
          <w:rFonts w:ascii="Arial" w:hAnsi="Arial" w:cs="Arial"/>
          <w:sz w:val="20"/>
          <w:szCs w:val="20"/>
          <w:lang w:val="en-GB"/>
        </w:rPr>
        <w:tab/>
        <w:t xml:space="preserve">  3</w:t>
      </w:r>
      <w:proofErr w:type="gramEnd"/>
    </w:p>
    <w:p w:rsidR="000A554F" w:rsidRPr="00BA1868" w:rsidRDefault="00860939" w:rsidP="00083340">
      <w:pPr>
        <w:ind w:firstLine="2127"/>
        <w:rPr>
          <w:rFonts w:ascii="Arial" w:hAnsi="Arial" w:cs="Arial"/>
          <w:sz w:val="20"/>
          <w:szCs w:val="20"/>
          <w:lang w:val="en-GB"/>
        </w:rPr>
      </w:pPr>
      <w:r w:rsidRPr="00BA1868">
        <w:rPr>
          <w:rFonts w:ascii="Arial" w:hAnsi="Arial" w:cs="Arial"/>
          <w:sz w:val="20"/>
          <w:szCs w:val="20"/>
          <w:lang w:val="en-GB"/>
        </w:rPr>
        <w:t>The above numbers include reviews managed by all editors.</w:t>
      </w:r>
    </w:p>
    <w:p w:rsidR="00860939" w:rsidRPr="00BA1868" w:rsidRDefault="00860939">
      <w:pPr>
        <w:rPr>
          <w:rFonts w:ascii="Arial" w:hAnsi="Arial" w:cs="Arial"/>
          <w:sz w:val="20"/>
          <w:szCs w:val="20"/>
          <w:lang w:val="en-GB"/>
        </w:rPr>
      </w:pPr>
      <w:r w:rsidRPr="00BA1868">
        <w:rPr>
          <w:rFonts w:ascii="Arial" w:hAnsi="Arial" w:cs="Arial"/>
          <w:sz w:val="20"/>
          <w:szCs w:val="20"/>
          <w:lang w:val="en-GB"/>
        </w:rPr>
        <w:t>The papers which were accepted for publication are shown below:</w:t>
      </w:r>
    </w:p>
    <w:tbl>
      <w:tblPr>
        <w:tblStyle w:val="Tablaconcuadrcula"/>
        <w:tblW w:w="1063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19"/>
        <w:gridCol w:w="7513"/>
      </w:tblGrid>
      <w:tr w:rsidR="00860939" w:rsidRPr="00083340" w:rsidTr="007B4E6E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8609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b/>
                <w:sz w:val="20"/>
                <w:szCs w:val="20"/>
                <w:lang w:val="en-GB"/>
              </w:rPr>
              <w:t>DOI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8609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4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10.1109/TPWRD.2020.2991293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Calculation of DC Bias Reactive Power Loss of Converter Transformer via Finite Element Analysis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5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10.1109/TPWRD.2020.2995879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Lagrangian</w:t>
            </w:r>
            <w:proofErr w:type="spellEnd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 xml:space="preserve"> model of an isolated dc-dc converter with a 3-phase medium frequency transformer accounting magnetic cross saturation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6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10.1109/TPWRD.2020.2999822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Low-cost embedded optical sensing systems for distribution transformer monitoring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7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10.1109/TPWRD.2020.3005225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Time-Domain Homogenization of Foil Windings in 2-D Axisymmetric Finite-Element Models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8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10.1109/TPWRD.2020.3014064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Transformer Bushing Thermal Model for Calculation of Hot-Spot Temperature Considering Oil Flow Dynamics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9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10.1109/TPWRD.2020.3014595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Investigation of the interaction between substation transients and Transformers in HV and EHV Application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10.1109/TPWRD.2020.3014914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 Novel Non-Isolated Boost-Type Alternate Arm DC Transformer with Bidirectional Fault-Blocking Capability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10.1109/TPWRD.2020.3015797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Overload Distribution Transformer with Natural Ester and Aramid-Enhanced Cellulose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10.1109/TPWRD.2020.3021909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Application of Operating Deflection Shapes to the Vibration-based Mechanical Condition Monitoring of Power Transformer Windings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10.1109/TPWRD.2020.3023824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New State-Space White-Box Transformer Model for the Calculation of Electromagnetic Transients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4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10.1109/TPWRD.2020.3024839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Experimental Studies on the Estimated Life of Oil-Immersed Insulation Paper in Traction Transformers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10.1109/TPWRD.2020.3025816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Analytical Technique for Load Noise of Middle Range Capacity Core-Form Power Transformers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10.1109/TPWRD.2020.3031592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Suppression of Incoming High-Frequency Overvoltage in Transformer Coils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10.1109/TPWRD.2020.3033447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Effect of Voltage Waveforms of HVDC Converter Transformer on Lifetime Characteristics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10.1109/TPWRD.2020.3035361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An Attempt to Identify the Faulty Phase in Three-Phase Transformer Windings Using an Advanced FRA Measurement Technique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10.1109/TPWRD.2020.3035718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 Novel Oil-immersed Medium Frequency Transformer for Offshore HVDC Wind Farms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10.1109/TPWRD.2020.3035842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 Monitoring Method for Average Winding and Hot-Spot Temperatures of Single-Phase, Oil-Immersed Transformers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10.1109/TPWRD.2021.3049505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Ageing Analysis of Solar Farm Inverter Transformers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10.1109/TPWRD.2021.3054059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 xml:space="preserve">Modified </w:t>
            </w:r>
            <w:proofErr w:type="spellStart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Preisach</w:t>
            </w:r>
            <w:proofErr w:type="spellEnd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 xml:space="preserve"> model of hysteresis in multi air gap ferrite core medium frequency transformer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10.1109/TPWRD.2021.3067863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Double-End Excitation of A Single Isolated Transformer Winding: An Improved Frequency Response Analysis for Fault Detection</w:t>
            </w:r>
          </w:p>
        </w:tc>
      </w:tr>
      <w:tr w:rsidR="00860939" w:rsidRPr="00083340" w:rsidTr="007B4E6E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4" w:tgtFrame="_blank" w:history="1">
              <w:r w:rsidRPr="00083340">
                <w:rPr>
                  <w:rStyle w:val="Hipervnculo"/>
                  <w:rFonts w:ascii="Arial" w:hAnsi="Arial" w:cs="Arial"/>
                  <w:sz w:val="20"/>
                  <w:szCs w:val="20"/>
                </w:rPr>
                <w:t>10.1109/TPWRD.2021.3070075</w:t>
              </w:r>
            </w:hyperlink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60939" w:rsidRPr="00083340" w:rsidRDefault="00860939" w:rsidP="00227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 xml:space="preserve">Fast and Complete Mitigation of Residual Flux in Current Transformers Suitable for Auto-Reclosing Schemes Using </w:t>
            </w:r>
            <w:proofErr w:type="spellStart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Jiles</w:t>
            </w:r>
            <w:proofErr w:type="spellEnd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 xml:space="preserve">-Atherton </w:t>
            </w:r>
            <w:proofErr w:type="spellStart"/>
            <w:r w:rsidRPr="00083340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</w:p>
        </w:tc>
      </w:tr>
    </w:tbl>
    <w:p w:rsidR="00860939" w:rsidRDefault="00860939">
      <w:pPr>
        <w:rPr>
          <w:lang w:val="en-GB"/>
        </w:rPr>
      </w:pPr>
    </w:p>
    <w:p w:rsidR="00860939" w:rsidRPr="00083340" w:rsidRDefault="00860939" w:rsidP="00860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 w:rsidRPr="00083340">
        <w:rPr>
          <w:rFonts w:ascii="Arial" w:hAnsi="Arial" w:cs="Arial"/>
          <w:color w:val="000000"/>
          <w:lang w:val="en-GB"/>
        </w:rPr>
        <w:t>It is important for all interested individuals to follow the norm for writing papers as provided in IEEE; the</w:t>
      </w:r>
    </w:p>
    <w:p w:rsidR="004571F4" w:rsidRPr="00083340" w:rsidRDefault="00860939" w:rsidP="00860939">
      <w:pPr>
        <w:rPr>
          <w:rFonts w:ascii="Arial" w:hAnsi="Arial" w:cs="Arial"/>
          <w:lang w:val="en-US"/>
        </w:rPr>
      </w:pPr>
      <w:r w:rsidRPr="00083340">
        <w:rPr>
          <w:rFonts w:ascii="Arial" w:hAnsi="Arial" w:cs="Arial"/>
          <w:color w:val="000000"/>
          <w:lang w:val="en-GB"/>
        </w:rPr>
        <w:t>link is 28T</w:t>
      </w:r>
      <w:r w:rsidRPr="00083340">
        <w:rPr>
          <w:rFonts w:ascii="Arial" w:hAnsi="Arial" w:cs="Arial"/>
          <w:color w:val="0000FF"/>
          <w:lang w:val="en-GB"/>
        </w:rPr>
        <w:t>http://www.ieee.org/publications_standards/publications/authors/authors_journals.html</w:t>
      </w:r>
      <w:r w:rsidR="004571F4" w:rsidRPr="00083340">
        <w:rPr>
          <w:rFonts w:ascii="Arial" w:hAnsi="Arial" w:cs="Arial"/>
          <w:color w:val="0000FF"/>
          <w:lang w:val="en-GB"/>
        </w:rPr>
        <w:t xml:space="preserve">, </w:t>
      </w:r>
      <w:r w:rsidR="004571F4" w:rsidRPr="00083340">
        <w:rPr>
          <w:rFonts w:ascii="Arial" w:hAnsi="Arial" w:cs="Arial"/>
          <w:lang w:val="en-US"/>
        </w:rPr>
        <w:t xml:space="preserve">particularly helpful is “How to Write for Technical Periodicals and Conferences”: </w:t>
      </w:r>
      <w:r w:rsidR="004571F4" w:rsidRPr="00083340">
        <w:rPr>
          <w:rFonts w:ascii="Arial" w:hAnsi="Arial" w:cs="Arial"/>
          <w:color w:val="0000FF"/>
          <w:lang w:val="en-US"/>
        </w:rPr>
        <w:t>http://ieeeauthorcenter.ieee.org/wp-content/uploads/How-to-Write-for-Technical-Periodicals-and-Conferences-1.pdf</w:t>
      </w:r>
    </w:p>
    <w:p w:rsidR="004571F4" w:rsidRPr="00083340" w:rsidRDefault="002635C6" w:rsidP="0032614A">
      <w:pPr>
        <w:spacing w:after="0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I would like to thank all of the reviewers who volunteered for thi</w:t>
      </w:r>
      <w:r w:rsidRPr="00083340">
        <w:rPr>
          <w:rFonts w:ascii="Arial" w:hAnsi="Arial" w:cs="Arial"/>
          <w:lang w:val="en-GB"/>
        </w:rPr>
        <w:t xml:space="preserve">s effort and donated their time. In </w:t>
      </w:r>
      <w:r w:rsidR="0032614A" w:rsidRPr="00083340">
        <w:rPr>
          <w:rFonts w:ascii="Arial" w:hAnsi="Arial" w:cs="Arial"/>
          <w:lang w:val="en-GB"/>
        </w:rPr>
        <w:t>particular,</w:t>
      </w:r>
      <w:r w:rsidRPr="00083340">
        <w:rPr>
          <w:rFonts w:ascii="Arial" w:hAnsi="Arial" w:cs="Arial"/>
          <w:lang w:val="en-GB"/>
        </w:rPr>
        <w:t xml:space="preserve"> </w:t>
      </w:r>
      <w:r w:rsidR="002F2701" w:rsidRPr="00083340">
        <w:rPr>
          <w:rFonts w:ascii="Arial" w:hAnsi="Arial" w:cs="Arial"/>
          <w:lang w:val="en-GB"/>
        </w:rPr>
        <w:t>those CM and AP</w:t>
      </w:r>
      <w:r w:rsidR="0032614A" w:rsidRPr="00083340">
        <w:rPr>
          <w:rFonts w:ascii="Arial" w:hAnsi="Arial" w:cs="Arial"/>
          <w:lang w:val="en-GB"/>
        </w:rPr>
        <w:t xml:space="preserve"> who have</w:t>
      </w:r>
      <w:r w:rsidR="002752F7" w:rsidRPr="00083340">
        <w:rPr>
          <w:rFonts w:ascii="Arial" w:hAnsi="Arial" w:cs="Arial"/>
          <w:lang w:val="en-GB"/>
        </w:rPr>
        <w:t xml:space="preserve"> participated in the review process during 2020</w:t>
      </w:r>
      <w:r w:rsidR="002F2701" w:rsidRPr="00083340">
        <w:rPr>
          <w:rFonts w:ascii="Arial" w:hAnsi="Arial" w:cs="Arial"/>
          <w:lang w:val="en-GB"/>
        </w:rPr>
        <w:t>:</w:t>
      </w:r>
    </w:p>
    <w:p w:rsidR="00C30C65" w:rsidRPr="00083340" w:rsidRDefault="00C30C65" w:rsidP="0032614A">
      <w:pPr>
        <w:spacing w:after="0"/>
        <w:rPr>
          <w:rFonts w:ascii="Arial" w:hAnsi="Arial" w:cs="Arial"/>
          <w:lang w:val="en-GB"/>
        </w:rPr>
      </w:pPr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Aleksandr</w:t>
      </w:r>
      <w:r w:rsidRPr="00083340">
        <w:rPr>
          <w:rFonts w:ascii="Arial" w:hAnsi="Arial" w:cs="Arial"/>
          <w:lang w:val="en-GB"/>
        </w:rPr>
        <w:t xml:space="preserve"> Levin</w:t>
      </w:r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bCs/>
          <w:color w:val="1A1A1A"/>
          <w:lang w:val="en-US"/>
        </w:rPr>
      </w:pPr>
      <w:r w:rsidRPr="00083340">
        <w:rPr>
          <w:rFonts w:ascii="Arial" w:hAnsi="Arial" w:cs="Arial"/>
          <w:bCs/>
          <w:color w:val="1A1A1A"/>
          <w:lang w:val="en-US"/>
        </w:rPr>
        <w:t xml:space="preserve">Attila </w:t>
      </w:r>
      <w:proofErr w:type="spellStart"/>
      <w:r w:rsidRPr="00083340">
        <w:rPr>
          <w:rFonts w:ascii="Arial" w:hAnsi="Arial" w:cs="Arial"/>
          <w:bCs/>
          <w:color w:val="1A1A1A"/>
          <w:lang w:val="en-US"/>
        </w:rPr>
        <w:t>Gyore</w:t>
      </w:r>
      <w:proofErr w:type="spellEnd"/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 xml:space="preserve">Ed </w:t>
      </w:r>
      <w:proofErr w:type="spellStart"/>
      <w:r w:rsidRPr="00083340">
        <w:rPr>
          <w:rFonts w:ascii="Arial" w:hAnsi="Arial" w:cs="Arial"/>
          <w:lang w:val="en-GB"/>
        </w:rPr>
        <w:t>teNyenhuis</w:t>
      </w:r>
      <w:proofErr w:type="spellEnd"/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Enrique Betancourt</w:t>
      </w:r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bCs/>
          <w:color w:val="1A1A1A"/>
          <w:lang w:val="en-US"/>
        </w:rPr>
      </w:pPr>
      <w:r w:rsidRPr="00083340">
        <w:rPr>
          <w:rFonts w:ascii="Arial" w:hAnsi="Arial" w:cs="Arial"/>
          <w:bCs/>
          <w:color w:val="1A1A1A"/>
          <w:lang w:val="en-US"/>
        </w:rPr>
        <w:t>Jerry R. Murphy</w:t>
      </w:r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pt-PT"/>
        </w:rPr>
      </w:pPr>
      <w:r w:rsidRPr="00083340">
        <w:rPr>
          <w:rFonts w:ascii="Arial" w:hAnsi="Arial" w:cs="Arial"/>
          <w:lang w:val="pt-PT"/>
        </w:rPr>
        <w:t>Jim McBride</w:t>
      </w:r>
    </w:p>
    <w:p w:rsidR="0032614A" w:rsidRPr="00083340" w:rsidRDefault="0032614A" w:rsidP="002752F7">
      <w:pPr>
        <w:spacing w:after="0"/>
        <w:ind w:firstLine="1701"/>
        <w:rPr>
          <w:rStyle w:val="highlight"/>
          <w:rFonts w:ascii="Arial" w:hAnsi="Arial" w:cs="Arial"/>
          <w:lang w:val="pt-PT"/>
        </w:rPr>
      </w:pPr>
      <w:r w:rsidRPr="00083340">
        <w:rPr>
          <w:rStyle w:val="highlight"/>
          <w:rFonts w:ascii="Arial" w:hAnsi="Arial" w:cs="Arial"/>
          <w:lang w:val="pt-PT"/>
        </w:rPr>
        <w:t>Jos Veens</w:t>
      </w:r>
    </w:p>
    <w:p w:rsidR="0032614A" w:rsidRPr="00083340" w:rsidRDefault="0032614A" w:rsidP="002752F7">
      <w:pPr>
        <w:spacing w:after="0"/>
        <w:ind w:firstLine="1701"/>
        <w:rPr>
          <w:rStyle w:val="highlight"/>
          <w:rFonts w:ascii="Arial" w:hAnsi="Arial" w:cs="Arial"/>
          <w:lang w:val="pt-PT"/>
        </w:rPr>
      </w:pPr>
      <w:r w:rsidRPr="00083340">
        <w:rPr>
          <w:rFonts w:ascii="Arial" w:hAnsi="Arial" w:cs="Arial"/>
          <w:lang w:val="pt-PT"/>
        </w:rPr>
        <w:t xml:space="preserve">Juliano </w:t>
      </w:r>
      <w:r w:rsidRPr="00083340">
        <w:rPr>
          <w:rStyle w:val="highlight"/>
          <w:rFonts w:ascii="Arial" w:hAnsi="Arial" w:cs="Arial"/>
          <w:lang w:val="pt-PT"/>
        </w:rPr>
        <w:t>Montanha</w:t>
      </w:r>
    </w:p>
    <w:p w:rsidR="0032614A" w:rsidRPr="00083340" w:rsidRDefault="0032614A" w:rsidP="002752F7">
      <w:pPr>
        <w:spacing w:after="0"/>
        <w:ind w:firstLine="1701"/>
        <w:rPr>
          <w:rStyle w:val="highlight"/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 xml:space="preserve">Krishnamurthy </w:t>
      </w:r>
      <w:proofErr w:type="spellStart"/>
      <w:r w:rsidRPr="00083340">
        <w:rPr>
          <w:rStyle w:val="highlight"/>
          <w:rFonts w:ascii="Arial" w:hAnsi="Arial" w:cs="Arial"/>
          <w:lang w:val="en-GB"/>
        </w:rPr>
        <w:t>Vijayan</w:t>
      </w:r>
      <w:proofErr w:type="spellEnd"/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 xml:space="preserve">Marco </w:t>
      </w:r>
      <w:proofErr w:type="spellStart"/>
      <w:r w:rsidRPr="00083340">
        <w:rPr>
          <w:rFonts w:ascii="Arial" w:hAnsi="Arial" w:cs="Arial"/>
          <w:lang w:val="en-GB"/>
        </w:rPr>
        <w:t>Tozzi</w:t>
      </w:r>
      <w:proofErr w:type="spellEnd"/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proofErr w:type="spellStart"/>
      <w:r w:rsidRPr="00083340">
        <w:rPr>
          <w:rStyle w:val="highlight"/>
          <w:rFonts w:ascii="Arial" w:hAnsi="Arial" w:cs="Arial"/>
          <w:lang w:val="en-GB"/>
        </w:rPr>
        <w:t>Ramsis</w:t>
      </w:r>
      <w:proofErr w:type="spellEnd"/>
      <w:r w:rsidRPr="00083340">
        <w:rPr>
          <w:rFonts w:ascii="Arial" w:hAnsi="Arial" w:cs="Arial"/>
          <w:lang w:val="en-GB"/>
        </w:rPr>
        <w:t xml:space="preserve"> </w:t>
      </w:r>
      <w:proofErr w:type="spellStart"/>
      <w:r w:rsidRPr="00083340">
        <w:rPr>
          <w:rFonts w:ascii="Arial" w:hAnsi="Arial" w:cs="Arial"/>
          <w:lang w:val="en-GB"/>
        </w:rPr>
        <w:t>Girgis</w:t>
      </w:r>
      <w:proofErr w:type="spellEnd"/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Rick Marek</w:t>
      </w:r>
    </w:p>
    <w:p w:rsidR="0032614A" w:rsidRPr="00083340" w:rsidRDefault="0032614A" w:rsidP="002752F7">
      <w:pPr>
        <w:spacing w:after="0"/>
        <w:ind w:firstLine="1701"/>
        <w:rPr>
          <w:rStyle w:val="highlight"/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 xml:space="preserve">Roger </w:t>
      </w:r>
      <w:r w:rsidRPr="00083340">
        <w:rPr>
          <w:rStyle w:val="highlight"/>
          <w:rFonts w:ascii="Arial" w:hAnsi="Arial" w:cs="Arial"/>
          <w:lang w:val="en-GB"/>
        </w:rPr>
        <w:t>Wicks</w:t>
      </w:r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  <w:lang w:val="en-GB"/>
        </w:rPr>
      </w:pPr>
      <w:proofErr w:type="spellStart"/>
      <w:r w:rsidRPr="00083340">
        <w:rPr>
          <w:rFonts w:ascii="Arial" w:hAnsi="Arial" w:cs="Arial"/>
          <w:lang w:val="en-GB"/>
        </w:rPr>
        <w:t>Sanjib</w:t>
      </w:r>
      <w:proofErr w:type="spellEnd"/>
      <w:r w:rsidRPr="00083340">
        <w:rPr>
          <w:rFonts w:ascii="Arial" w:hAnsi="Arial" w:cs="Arial"/>
          <w:lang w:val="en-GB"/>
        </w:rPr>
        <w:t xml:space="preserve"> </w:t>
      </w:r>
      <w:proofErr w:type="spellStart"/>
      <w:r w:rsidRPr="00083340">
        <w:rPr>
          <w:rFonts w:ascii="Arial" w:hAnsi="Arial" w:cs="Arial"/>
          <w:lang w:val="en-GB"/>
        </w:rPr>
        <w:t>Som</w:t>
      </w:r>
      <w:proofErr w:type="spellEnd"/>
    </w:p>
    <w:p w:rsidR="0032614A" w:rsidRPr="00083340" w:rsidRDefault="0032614A" w:rsidP="002752F7">
      <w:pPr>
        <w:spacing w:after="0"/>
        <w:ind w:firstLine="1701"/>
        <w:rPr>
          <w:rFonts w:ascii="Arial" w:hAnsi="Arial" w:cs="Arial"/>
        </w:rPr>
      </w:pPr>
      <w:proofErr w:type="spellStart"/>
      <w:r w:rsidRPr="00083340">
        <w:rPr>
          <w:rStyle w:val="highlight"/>
          <w:rFonts w:ascii="Arial" w:hAnsi="Arial" w:cs="Arial"/>
        </w:rPr>
        <w:t>Waldemar</w:t>
      </w:r>
      <w:proofErr w:type="spellEnd"/>
      <w:r w:rsidRPr="00083340">
        <w:rPr>
          <w:rFonts w:ascii="Arial" w:hAnsi="Arial" w:cs="Arial"/>
        </w:rPr>
        <w:t xml:space="preserve"> </w:t>
      </w:r>
      <w:proofErr w:type="spellStart"/>
      <w:r w:rsidRPr="00083340">
        <w:rPr>
          <w:rFonts w:ascii="Arial" w:hAnsi="Arial" w:cs="Arial"/>
        </w:rPr>
        <w:t>Ziomek</w:t>
      </w:r>
      <w:proofErr w:type="spellEnd"/>
    </w:p>
    <w:p w:rsidR="00ED168F" w:rsidRPr="00083340" w:rsidRDefault="00ED168F" w:rsidP="002752F7">
      <w:pPr>
        <w:spacing w:after="0"/>
        <w:ind w:firstLine="1701"/>
        <w:rPr>
          <w:rFonts w:ascii="Arial" w:hAnsi="Arial" w:cs="Arial"/>
        </w:rPr>
      </w:pPr>
    </w:p>
    <w:p w:rsidR="00B758FF" w:rsidRPr="00083340" w:rsidRDefault="00B758FF" w:rsidP="00B7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 xml:space="preserve">Their </w:t>
      </w:r>
      <w:r w:rsidRPr="00083340">
        <w:rPr>
          <w:rFonts w:ascii="Arial" w:hAnsi="Arial" w:cs="Arial"/>
          <w:lang w:val="en-GB"/>
        </w:rPr>
        <w:t>important contribution</w:t>
      </w:r>
      <w:r w:rsidRPr="00083340">
        <w:rPr>
          <w:rFonts w:ascii="Arial" w:hAnsi="Arial" w:cs="Arial"/>
          <w:lang w:val="en-GB"/>
        </w:rPr>
        <w:t xml:space="preserve"> helps to</w:t>
      </w:r>
      <w:r w:rsidRPr="00083340">
        <w:rPr>
          <w:rFonts w:ascii="Arial" w:hAnsi="Arial" w:cs="Arial"/>
          <w:lang w:val="en-GB"/>
        </w:rPr>
        <w:t xml:space="preserve"> </w:t>
      </w:r>
      <w:r w:rsidRPr="00083340">
        <w:rPr>
          <w:rFonts w:ascii="Arial" w:hAnsi="Arial" w:cs="Arial"/>
          <w:lang w:val="en-GB"/>
        </w:rPr>
        <w:t>maintain</w:t>
      </w:r>
      <w:r w:rsidRPr="00083340">
        <w:rPr>
          <w:rFonts w:ascii="Arial" w:hAnsi="Arial" w:cs="Arial"/>
          <w:lang w:val="en-GB"/>
        </w:rPr>
        <w:t xml:space="preserve"> the high standards for our papers and it gives back to the</w:t>
      </w:r>
    </w:p>
    <w:p w:rsidR="00B758FF" w:rsidRPr="00083340" w:rsidRDefault="00B758FF" w:rsidP="00B758FF">
      <w:pPr>
        <w:spacing w:after="0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industry their expert knowledge.</w:t>
      </w:r>
    </w:p>
    <w:p w:rsidR="00B758FF" w:rsidRPr="00083340" w:rsidRDefault="00B758FF" w:rsidP="00B7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:rsidR="00B758FF" w:rsidRPr="00083340" w:rsidRDefault="00B758FF" w:rsidP="00B7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 xml:space="preserve">I </w:t>
      </w:r>
      <w:r w:rsidRPr="00083340">
        <w:rPr>
          <w:rFonts w:ascii="Arial" w:hAnsi="Arial" w:cs="Arial"/>
          <w:lang w:val="en-GB"/>
        </w:rPr>
        <w:t>would</w:t>
      </w:r>
      <w:r w:rsidRPr="00083340">
        <w:rPr>
          <w:rFonts w:ascii="Arial" w:hAnsi="Arial" w:cs="Arial"/>
          <w:lang w:val="en-GB"/>
        </w:rPr>
        <w:t xml:space="preserve"> </w:t>
      </w:r>
      <w:r w:rsidRPr="00083340">
        <w:rPr>
          <w:rFonts w:ascii="Arial" w:hAnsi="Arial" w:cs="Arial"/>
          <w:lang w:val="en-GB"/>
        </w:rPr>
        <w:t>like to encourage everyone associated with IEEE Transformers Committee activities to consider becoming a</w:t>
      </w:r>
      <w:r w:rsidR="00083340">
        <w:rPr>
          <w:rFonts w:ascii="Arial" w:hAnsi="Arial" w:cs="Arial"/>
          <w:lang w:val="en-GB"/>
        </w:rPr>
        <w:t xml:space="preserve"> </w:t>
      </w:r>
      <w:r w:rsidRPr="00083340">
        <w:rPr>
          <w:rFonts w:ascii="Arial" w:hAnsi="Arial" w:cs="Arial"/>
          <w:lang w:val="en-GB"/>
        </w:rPr>
        <w:t>Reviewer.</w:t>
      </w:r>
      <w:r w:rsidR="007B4E6E">
        <w:rPr>
          <w:rFonts w:ascii="Arial" w:hAnsi="Arial" w:cs="Arial"/>
          <w:lang w:val="en-GB"/>
        </w:rPr>
        <w:t xml:space="preserve"> Who are</w:t>
      </w:r>
      <w:bookmarkStart w:id="0" w:name="_GoBack"/>
      <w:bookmarkEnd w:id="0"/>
      <w:r w:rsidRPr="00083340">
        <w:rPr>
          <w:rFonts w:ascii="Arial" w:hAnsi="Arial" w:cs="Arial"/>
          <w:lang w:val="en-GB"/>
        </w:rPr>
        <w:t xml:space="preserve"> interested, please, s</w:t>
      </w:r>
      <w:r w:rsidR="00083340">
        <w:rPr>
          <w:rFonts w:ascii="Arial" w:hAnsi="Arial" w:cs="Arial"/>
          <w:lang w:val="en-GB"/>
        </w:rPr>
        <w:t>end me an</w:t>
      </w:r>
      <w:r w:rsidRPr="00083340">
        <w:rPr>
          <w:rFonts w:ascii="Arial" w:hAnsi="Arial" w:cs="Arial"/>
          <w:lang w:val="en-GB"/>
        </w:rPr>
        <w:t xml:space="preserve"> e-mail to </w:t>
      </w:r>
      <w:hyperlink r:id="rId25" w:history="1">
        <w:r w:rsidRPr="00083340">
          <w:rPr>
            <w:rStyle w:val="Hipervnculo"/>
            <w:rFonts w:ascii="Arial" w:hAnsi="Arial" w:cs="Arial"/>
            <w:lang w:val="en-GB"/>
          </w:rPr>
          <w:t>xmlopez@ieee.org</w:t>
        </w:r>
      </w:hyperlink>
      <w:r w:rsidRPr="00083340">
        <w:rPr>
          <w:rFonts w:ascii="Arial" w:hAnsi="Arial" w:cs="Arial"/>
          <w:lang w:val="en-GB"/>
        </w:rPr>
        <w:t xml:space="preserve">  </w:t>
      </w:r>
      <w:r w:rsidR="00ED168F" w:rsidRPr="00083340">
        <w:rPr>
          <w:rFonts w:ascii="Arial" w:hAnsi="Arial" w:cs="Arial"/>
          <w:lang w:val="en-GB"/>
        </w:rPr>
        <w:t xml:space="preserve">specifying any </w:t>
      </w:r>
      <w:r w:rsidR="00ED168F" w:rsidRPr="00083340">
        <w:rPr>
          <w:rFonts w:ascii="Arial" w:hAnsi="Arial" w:cs="Arial"/>
          <w:lang w:val="en-GB"/>
        </w:rPr>
        <w:t>“Specialty / Area of Expertise”</w:t>
      </w:r>
      <w:r w:rsidR="00ED168F" w:rsidRPr="00083340">
        <w:rPr>
          <w:rFonts w:ascii="Arial" w:hAnsi="Arial" w:cs="Arial"/>
          <w:lang w:val="en-GB"/>
        </w:rPr>
        <w:t xml:space="preserve"> </w:t>
      </w:r>
      <w:r w:rsidR="00C30C65" w:rsidRPr="00083340">
        <w:rPr>
          <w:rFonts w:ascii="Arial" w:hAnsi="Arial" w:cs="Arial"/>
          <w:lang w:val="en-GB"/>
        </w:rPr>
        <w:t xml:space="preserve">of interest, </w:t>
      </w:r>
      <w:r w:rsidR="00ED168F" w:rsidRPr="00083340">
        <w:rPr>
          <w:rFonts w:ascii="Arial" w:hAnsi="Arial" w:cs="Arial"/>
          <w:lang w:val="en-GB"/>
        </w:rPr>
        <w:t>such as:</w:t>
      </w:r>
    </w:p>
    <w:p w:rsidR="00ED168F" w:rsidRPr="00083340" w:rsidRDefault="00ED168F" w:rsidP="00B75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:rsidR="00ED168F" w:rsidRPr="00083340" w:rsidRDefault="00ED168F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Power Transformers</w:t>
      </w:r>
    </w:p>
    <w:p w:rsidR="004167C5" w:rsidRPr="00083340" w:rsidRDefault="004167C5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Instrument Transformers</w:t>
      </w:r>
    </w:p>
    <w:p w:rsidR="00ED168F" w:rsidRPr="00083340" w:rsidRDefault="00ED168F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Insulating fluids category</w:t>
      </w:r>
    </w:p>
    <w:p w:rsidR="004167C5" w:rsidRPr="00083340" w:rsidRDefault="004167C5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Insulation life</w:t>
      </w:r>
    </w:p>
    <w:p w:rsidR="00ED168F" w:rsidRPr="00083340" w:rsidRDefault="00ED168F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Audible Noise and Vibration</w:t>
      </w:r>
    </w:p>
    <w:p w:rsidR="00ED168F" w:rsidRPr="00083340" w:rsidRDefault="00ED168F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</w:rPr>
      </w:pPr>
      <w:proofErr w:type="spellStart"/>
      <w:r w:rsidRPr="00083340">
        <w:rPr>
          <w:rFonts w:ascii="Arial" w:hAnsi="Arial" w:cs="Arial"/>
        </w:rPr>
        <w:t>Transformer</w:t>
      </w:r>
      <w:proofErr w:type="spellEnd"/>
      <w:r w:rsidRPr="00083340">
        <w:rPr>
          <w:rFonts w:ascii="Arial" w:hAnsi="Arial" w:cs="Arial"/>
        </w:rPr>
        <w:t xml:space="preserve"> </w:t>
      </w:r>
      <w:proofErr w:type="spellStart"/>
      <w:r w:rsidRPr="00083340">
        <w:rPr>
          <w:rFonts w:ascii="Arial" w:hAnsi="Arial" w:cs="Arial"/>
        </w:rPr>
        <w:t>Modeling</w:t>
      </w:r>
      <w:proofErr w:type="spellEnd"/>
      <w:r w:rsidRPr="00083340">
        <w:rPr>
          <w:rFonts w:ascii="Arial" w:hAnsi="Arial" w:cs="Arial"/>
        </w:rPr>
        <w:t xml:space="preserve"> </w:t>
      </w:r>
      <w:proofErr w:type="spellStart"/>
      <w:r w:rsidRPr="00083340">
        <w:rPr>
          <w:rFonts w:ascii="Arial" w:hAnsi="Arial" w:cs="Arial"/>
        </w:rPr>
        <w:t>Techniques</w:t>
      </w:r>
      <w:proofErr w:type="spellEnd"/>
    </w:p>
    <w:p w:rsidR="004167C5" w:rsidRPr="00083340" w:rsidRDefault="004167C5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HVDC Converter Transformers</w:t>
      </w:r>
    </w:p>
    <w:p w:rsidR="004167C5" w:rsidRPr="00083340" w:rsidRDefault="004167C5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Reactors</w:t>
      </w:r>
    </w:p>
    <w:p w:rsidR="00ED168F" w:rsidRPr="00083340" w:rsidRDefault="00ED168F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Monitoring</w:t>
      </w:r>
    </w:p>
    <w:p w:rsidR="00ED168F" w:rsidRPr="00083340" w:rsidRDefault="00ED168F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Design</w:t>
      </w:r>
    </w:p>
    <w:p w:rsidR="004167C5" w:rsidRPr="00083340" w:rsidRDefault="004167C5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Heating</w:t>
      </w:r>
    </w:p>
    <w:p w:rsidR="004167C5" w:rsidRPr="00083340" w:rsidRDefault="004167C5" w:rsidP="00C30C65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lang w:val="en-GB"/>
        </w:rPr>
      </w:pPr>
      <w:r w:rsidRPr="00083340">
        <w:rPr>
          <w:rFonts w:ascii="Arial" w:hAnsi="Arial" w:cs="Arial"/>
          <w:lang w:val="en-GB"/>
        </w:rPr>
        <w:t>Etc.</w:t>
      </w:r>
    </w:p>
    <w:p w:rsidR="00B758FF" w:rsidRDefault="00B758FF" w:rsidP="00B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B758FF" w:rsidSect="0022706D">
      <w:pgSz w:w="12240" w:h="16340"/>
      <w:pgMar w:top="1128" w:right="683" w:bottom="696" w:left="85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68"/>
    <w:rsid w:val="00083340"/>
    <w:rsid w:val="000A554F"/>
    <w:rsid w:val="000E1710"/>
    <w:rsid w:val="002635C6"/>
    <w:rsid w:val="002752F7"/>
    <w:rsid w:val="002F2701"/>
    <w:rsid w:val="0032614A"/>
    <w:rsid w:val="0033367C"/>
    <w:rsid w:val="003B3E75"/>
    <w:rsid w:val="004167C5"/>
    <w:rsid w:val="00446892"/>
    <w:rsid w:val="004571F4"/>
    <w:rsid w:val="00516518"/>
    <w:rsid w:val="007B4E6E"/>
    <w:rsid w:val="00860939"/>
    <w:rsid w:val="008F4868"/>
    <w:rsid w:val="009B3299"/>
    <w:rsid w:val="00A94195"/>
    <w:rsid w:val="00AD7536"/>
    <w:rsid w:val="00B4313D"/>
    <w:rsid w:val="00B758FF"/>
    <w:rsid w:val="00B95D41"/>
    <w:rsid w:val="00BA1868"/>
    <w:rsid w:val="00C30C65"/>
    <w:rsid w:val="00C81AF9"/>
    <w:rsid w:val="00E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94F3"/>
  <w15:chartTrackingRefBased/>
  <w15:docId w15:val="{1802E324-20AB-4087-B66D-F409F691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B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09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1F4"/>
    <w:rPr>
      <w:color w:val="954F72" w:themeColor="followedHyperlink"/>
      <w:u w:val="single"/>
    </w:rPr>
  </w:style>
  <w:style w:type="character" w:customStyle="1" w:styleId="highlight">
    <w:name w:val="highlight"/>
    <w:basedOn w:val="Fuentedeprrafopredeter"/>
    <w:rsid w:val="000E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TPWRD.2020.3014064" TargetMode="External"/><Relationship Id="rId13" Type="http://schemas.openxmlformats.org/officeDocument/2006/relationships/hyperlink" Target="https://doi.org/10.1109/TPWRD.2020.3023824" TargetMode="External"/><Relationship Id="rId18" Type="http://schemas.openxmlformats.org/officeDocument/2006/relationships/hyperlink" Target="https://doi.org/10.1109/TPWRD.2020.303536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09/TPWRD.2021.3049505" TargetMode="External"/><Relationship Id="rId7" Type="http://schemas.openxmlformats.org/officeDocument/2006/relationships/hyperlink" Target="https://doi.org/10.1109/TPWRD.2020.3005225" TargetMode="External"/><Relationship Id="rId12" Type="http://schemas.openxmlformats.org/officeDocument/2006/relationships/hyperlink" Target="https://doi.org/10.1109/TPWRD.2020.3021909" TargetMode="External"/><Relationship Id="rId17" Type="http://schemas.openxmlformats.org/officeDocument/2006/relationships/hyperlink" Target="https://doi.org/10.1109/TPWRD.2020.3033447" TargetMode="External"/><Relationship Id="rId25" Type="http://schemas.openxmlformats.org/officeDocument/2006/relationships/hyperlink" Target="mailto:xmlopez@iee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09/TPWRD.2020.3031592" TargetMode="External"/><Relationship Id="rId20" Type="http://schemas.openxmlformats.org/officeDocument/2006/relationships/hyperlink" Target="https://doi.org/10.1109/TPWRD.2020.3035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09/TPWRD.2020.2999822" TargetMode="External"/><Relationship Id="rId11" Type="http://schemas.openxmlformats.org/officeDocument/2006/relationships/hyperlink" Target="https://doi.org/10.1109/TPWRD.2020.3015797" TargetMode="External"/><Relationship Id="rId24" Type="http://schemas.openxmlformats.org/officeDocument/2006/relationships/hyperlink" Target="https://doi.org/10.1109/TPWRD.2021.3070075" TargetMode="External"/><Relationship Id="rId5" Type="http://schemas.openxmlformats.org/officeDocument/2006/relationships/hyperlink" Target="https://doi.org/10.1109/TPWRD.2020.2995879" TargetMode="External"/><Relationship Id="rId15" Type="http://schemas.openxmlformats.org/officeDocument/2006/relationships/hyperlink" Target="https://doi.org/10.1109/TPWRD.2020.3025816" TargetMode="External"/><Relationship Id="rId23" Type="http://schemas.openxmlformats.org/officeDocument/2006/relationships/hyperlink" Target="https://doi.org/10.1109/TPWRD.2021.3067863" TargetMode="External"/><Relationship Id="rId10" Type="http://schemas.openxmlformats.org/officeDocument/2006/relationships/hyperlink" Target="https://doi.org/10.1109/TPWRD.2020.3014914" TargetMode="External"/><Relationship Id="rId19" Type="http://schemas.openxmlformats.org/officeDocument/2006/relationships/hyperlink" Target="https://doi.org/10.1109/TPWRD.2020.3035718" TargetMode="External"/><Relationship Id="rId4" Type="http://schemas.openxmlformats.org/officeDocument/2006/relationships/hyperlink" Target="https://doi.org/10.1109/TPWRD.2020.2991293" TargetMode="External"/><Relationship Id="rId9" Type="http://schemas.openxmlformats.org/officeDocument/2006/relationships/hyperlink" Target="https://doi.org/10.1109/TPWRD.2020.3014595" TargetMode="External"/><Relationship Id="rId14" Type="http://schemas.openxmlformats.org/officeDocument/2006/relationships/hyperlink" Target="https://doi.org/10.1109/TPWRD.2020.3024839" TargetMode="External"/><Relationship Id="rId22" Type="http://schemas.openxmlformats.org/officeDocument/2006/relationships/hyperlink" Target="https://doi.org/10.1109/TPWRD.2021.30540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xmlf</dc:creator>
  <cp:keywords/>
  <dc:description/>
  <cp:lastModifiedBy>xmlf</cp:lastModifiedBy>
  <cp:revision>20</cp:revision>
  <dcterms:created xsi:type="dcterms:W3CDTF">2021-04-17T17:33:00Z</dcterms:created>
  <dcterms:modified xsi:type="dcterms:W3CDTF">2021-04-17T19:36:00Z</dcterms:modified>
</cp:coreProperties>
</file>